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D3C9B" w14:textId="0C06725B" w:rsidR="00027F81" w:rsidRPr="00FD066E" w:rsidRDefault="00FD066E" w:rsidP="00027F81">
      <w:pPr>
        <w:spacing w:line="240" w:lineRule="auto"/>
        <w:ind w:hanging="720"/>
        <w:jc w:val="center"/>
        <w:rPr>
          <w:rFonts w:ascii="Arial" w:eastAsia="Times New Roman" w:hAnsi="Arial" w:cs="Arial"/>
          <w:b/>
          <w:bCs/>
          <w:color w:val="4472C4" w:themeColor="accent1"/>
          <w:kern w:val="0"/>
          <w:sz w:val="26"/>
          <w:szCs w:val="26"/>
          <w:u w:val="single"/>
          <w14:ligatures w14:val="none"/>
        </w:rPr>
      </w:pPr>
      <w:r w:rsidRPr="00FD066E">
        <w:rPr>
          <w:rFonts w:ascii="Arial" w:eastAsia="Times New Roman" w:hAnsi="Arial" w:cs="Arial"/>
          <w:b/>
          <w:bCs/>
          <w:color w:val="4472C4" w:themeColor="accent1"/>
          <w:kern w:val="0"/>
          <w:sz w:val="26"/>
          <w:szCs w:val="26"/>
          <w:u w:val="single"/>
          <w14:ligatures w14:val="none"/>
        </w:rPr>
        <w:t>This document must be an attachment to any Federal procurement/solicitation</w:t>
      </w:r>
    </w:p>
    <w:p w14:paraId="56CAFF37" w14:textId="06A2AD41" w:rsidR="00027F81" w:rsidRDefault="00027F81" w:rsidP="00027F81">
      <w:pPr>
        <w:spacing w:line="240" w:lineRule="auto"/>
        <w:ind w:hanging="720"/>
        <w:jc w:val="center"/>
        <w:rPr>
          <w:rFonts w:ascii="Arial" w:eastAsia="Times New Roman" w:hAnsi="Arial" w:cs="Arial"/>
          <w:b/>
          <w:bCs/>
          <w:color w:val="000000"/>
          <w:kern w:val="0"/>
          <w:sz w:val="26"/>
          <w:szCs w:val="26"/>
          <w:u w:val="single"/>
          <w14:ligatures w14:val="none"/>
        </w:rPr>
      </w:pPr>
      <w:r w:rsidRPr="007F7CA9">
        <w:rPr>
          <w:rFonts w:ascii="Arial" w:eastAsia="Times New Roman" w:hAnsi="Arial" w:cs="Arial"/>
          <w:b/>
          <w:bCs/>
          <w:color w:val="000000"/>
          <w:kern w:val="0"/>
          <w:sz w:val="26"/>
          <w:szCs w:val="26"/>
          <w:u w:val="single"/>
          <w14:ligatures w14:val="none"/>
        </w:rPr>
        <w:t>OTHER REQUIREMENTS TO COMPLY WITH FEDERAL STATUTES, REGULATIONS AND TERMS AND CONDITIONS OF THE</w:t>
      </w:r>
      <w:r w:rsidRPr="00C147D1">
        <w:rPr>
          <w:rFonts w:ascii="Arial" w:eastAsia="Times New Roman" w:hAnsi="Arial" w:cs="Arial"/>
          <w:b/>
          <w:bCs/>
          <w:color w:val="000000"/>
          <w:kern w:val="0"/>
          <w:sz w:val="26"/>
          <w:szCs w:val="26"/>
          <w:u w:val="single"/>
          <w14:ligatures w14:val="none"/>
        </w:rPr>
        <w:t xml:space="preserve"> FEDERAL</w:t>
      </w:r>
      <w:r w:rsidRPr="007F7CA9">
        <w:rPr>
          <w:rFonts w:ascii="Arial" w:eastAsia="Times New Roman" w:hAnsi="Arial" w:cs="Arial"/>
          <w:b/>
          <w:bCs/>
          <w:color w:val="000000"/>
          <w:kern w:val="0"/>
          <w:sz w:val="26"/>
          <w:szCs w:val="26"/>
          <w:u w:val="single"/>
          <w14:ligatures w14:val="none"/>
        </w:rPr>
        <w:t xml:space="preserve"> AWARD</w:t>
      </w:r>
    </w:p>
    <w:p w14:paraId="44ADBFEA" w14:textId="77777777" w:rsidR="00027F81" w:rsidRPr="00633AC8" w:rsidRDefault="00027F81" w:rsidP="00027F81">
      <w:pPr>
        <w:spacing w:line="240" w:lineRule="auto"/>
        <w:ind w:hanging="720"/>
        <w:jc w:val="center"/>
        <w:rPr>
          <w:rFonts w:ascii="Arial" w:eastAsia="Times New Roman" w:hAnsi="Arial" w:cs="Arial"/>
          <w:kern w:val="0"/>
          <w:sz w:val="24"/>
          <w:szCs w:val="24"/>
          <w14:ligatures w14:val="none"/>
        </w:rPr>
      </w:pPr>
    </w:p>
    <w:p w14:paraId="58A8532A" w14:textId="160F97AE"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w:t>
      </w:r>
      <w:r w:rsidR="007E79BF">
        <w:rPr>
          <w:rFonts w:ascii="Arial" w:eastAsia="Times New Roman" w:hAnsi="Arial" w:cs="Arial"/>
          <w:color w:val="000000"/>
          <w:kern w:val="0"/>
          <w14:ligatures w14:val="none"/>
        </w:rPr>
        <w:t>ommunity Project Funds (“CPF”)</w:t>
      </w:r>
      <w:r w:rsidRPr="00633AC8">
        <w:rPr>
          <w:rFonts w:ascii="Arial" w:eastAsia="Times New Roman" w:hAnsi="Arial" w:cs="Arial"/>
          <w:color w:val="000000"/>
          <w:kern w:val="0"/>
          <w14:ligatures w14:val="none"/>
        </w:rPr>
        <w:t xml:space="preserve"> </w:t>
      </w:r>
      <w:r w:rsidR="007E79BF">
        <w:rPr>
          <w:rFonts w:ascii="Arial" w:eastAsia="Times New Roman" w:hAnsi="Arial" w:cs="Arial"/>
          <w:color w:val="000000"/>
          <w:kern w:val="0"/>
          <w14:ligatures w14:val="none"/>
        </w:rPr>
        <w:t xml:space="preserve">administered by the Department of Housing and Urban Development (HUD) </w:t>
      </w:r>
      <w:r w:rsidRPr="00633AC8">
        <w:rPr>
          <w:rFonts w:ascii="Arial" w:eastAsia="Times New Roman" w:hAnsi="Arial" w:cs="Arial"/>
          <w:color w:val="000000"/>
          <w:kern w:val="0"/>
          <w14:ligatures w14:val="none"/>
        </w:rPr>
        <w:t>available to the Contractor through this agreement constitute a subaward of the Grantee’s Federal award under the Uniform Administrative Requirements, Cost Principles, and Audit Requirements for Federal Awards, 2 CFR part 200.  This agreement includes terms and conditions of the Grantee’s Federal award that are imposed on the Contractor, and the contractor agrees to carry out its obligations in compliance with all of the obligations described in this agreement.</w:t>
      </w:r>
    </w:p>
    <w:p w14:paraId="4C8B6652"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A.  General Compliance</w:t>
      </w:r>
    </w:p>
    <w:p w14:paraId="1AE13F7E" w14:textId="4C207345"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Contractor shall comply with all applicable provisions of the Housing and Community Development Act of 1974, as amended, and the regulations at 24 CFR part 570, as modified by the Federal Register notices that govern the use of </w:t>
      </w:r>
      <w:r w:rsidR="007E79BF">
        <w:rPr>
          <w:rFonts w:ascii="Arial" w:eastAsia="Times New Roman" w:hAnsi="Arial" w:cs="Arial"/>
          <w:color w:val="000000"/>
          <w:kern w:val="0"/>
          <w14:ligatures w14:val="none"/>
        </w:rPr>
        <w:t xml:space="preserve">CPF </w:t>
      </w:r>
      <w:r w:rsidRPr="00633AC8">
        <w:rPr>
          <w:rFonts w:ascii="Arial" w:eastAsia="Times New Roman" w:hAnsi="Arial" w:cs="Arial"/>
          <w:color w:val="000000"/>
          <w:kern w:val="0"/>
          <w14:ligatures w14:val="none"/>
        </w:rPr>
        <w:t>funds available under this agreement. These Federal Register notices include, but are not limited to, Federal Register, Volume 87, No.100, Tuesday, May 24, 2022 and Federal Register, Volume 88, No. 11, Wednesday, January 18, 2023. Notwithstanding the foregoing, (1) the Contractor does not assume the any of Grantee’s responsibilities for environmental review, decision-making, and action, described in 24 CFR part 58 and (2) the Contractor does not assume any of the Grantee’s responsibilities for initiating the review process under the provisions of 24 CFR Part 52. The Contractor shall also comply with all other applicable Federal, state and local laws, regulations, and policies that govern the use of the C</w:t>
      </w:r>
      <w:r w:rsidR="004B596A">
        <w:rPr>
          <w:rFonts w:ascii="Arial" w:eastAsia="Times New Roman" w:hAnsi="Arial" w:cs="Arial"/>
          <w:color w:val="000000"/>
          <w:kern w:val="0"/>
          <w14:ligatures w14:val="none"/>
        </w:rPr>
        <w:t xml:space="preserve">PF </w:t>
      </w:r>
      <w:r w:rsidRPr="00633AC8">
        <w:rPr>
          <w:rFonts w:ascii="Arial" w:eastAsia="Times New Roman" w:hAnsi="Arial" w:cs="Arial"/>
          <w:color w:val="000000"/>
          <w:kern w:val="0"/>
          <w14:ligatures w14:val="none"/>
        </w:rPr>
        <w:t>funds in complying with its obligations under this agreement, regardless of whether C</w:t>
      </w:r>
      <w:r w:rsidR="004B596A">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are made available to the Contractor on an advance or reimbursement basis.</w:t>
      </w:r>
    </w:p>
    <w:p w14:paraId="4E4D873C"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B.  Duplication of Benefits</w:t>
      </w:r>
    </w:p>
    <w:p w14:paraId="0F49E70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not carry out any of the activities under this agreement in a manner that results in a prohibited duplication of benefits as defined by Section 312 of the Robert T. Stafford Disaster Relief and Emergency Assistance Act (42 USC 5155) and described in Appropriations Act. The Contractor must comply with HUD’s requirements for duplication of benefits, imposed by Federal Register notice on the Grantee, which are identical to Section 312 of the Robert T. Stafford Disaster Relief and Emergency Assistance Act. The Contractor shall carry out the activities under this agreement in compliance with the Grantee’s procedures to prevent duplication of benefits.</w:t>
      </w:r>
    </w:p>
    <w:p w14:paraId="2131F142"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C.  Drug Free Workplace </w:t>
      </w:r>
    </w:p>
    <w:p w14:paraId="14013D6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Drug-free workplace. Contractors must comply with drug-free workplace requirements in Subpart B of part 2429, which adopts the governmentwide implementation (2 CFR part 182) of sections 5152-5158 of the Drug- Free Workplace Act of 1988 (Pub. L. 100-690, Title V, Subtitle D; 41 U.S.C. 701-707).</w:t>
      </w:r>
    </w:p>
    <w:p w14:paraId="0E9D7CC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D.</w:t>
      </w:r>
      <w:r w:rsidRPr="00633AC8">
        <w:rPr>
          <w:rFonts w:ascii="Arial" w:eastAsia="Times New Roman" w:hAnsi="Arial" w:cs="Arial"/>
          <w:color w:val="000000"/>
          <w:kern w:val="0"/>
          <w14:ligatures w14:val="none"/>
        </w:rPr>
        <w:t xml:space="preserve">  </w:t>
      </w:r>
      <w:r w:rsidRPr="00633AC8">
        <w:rPr>
          <w:rFonts w:ascii="Arial" w:eastAsia="Times New Roman" w:hAnsi="Arial" w:cs="Arial"/>
          <w:b/>
          <w:bCs/>
          <w:color w:val="000000"/>
          <w:kern w:val="0"/>
          <w14:ligatures w14:val="none"/>
        </w:rPr>
        <w:t>Insurance and Bonding</w:t>
      </w:r>
    </w:p>
    <w:p w14:paraId="4AC78D8B" w14:textId="77777777" w:rsidR="00027F81" w:rsidRPr="00633AC8" w:rsidRDefault="00027F81" w:rsidP="00027F81">
      <w:pPr>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Contractor shall comply with the bonding and insurance requirements </w:t>
      </w:r>
      <w:r w:rsidRPr="005B1609">
        <w:rPr>
          <w:rFonts w:ascii="Arial" w:eastAsia="Times New Roman" w:hAnsi="Arial" w:cs="Arial"/>
          <w:color w:val="000000"/>
          <w:kern w:val="0"/>
          <w14:ligatures w14:val="none"/>
        </w:rPr>
        <w:t>of</w:t>
      </w:r>
      <w:r>
        <w:rPr>
          <w:rFonts w:ascii="Arial" w:eastAsia="Times New Roman" w:hAnsi="Arial" w:cs="Arial"/>
          <w:color w:val="000000"/>
          <w:kern w:val="0"/>
          <w14:ligatures w14:val="none"/>
        </w:rPr>
        <w:t xml:space="preserve"> 24 CFR </w:t>
      </w:r>
      <w:bookmarkStart w:id="0" w:name="_Hlk158715186"/>
      <w:r w:rsidRPr="00633AC8">
        <w:rPr>
          <w:rFonts w:ascii="Arial" w:eastAsia="Times New Roman" w:hAnsi="Arial" w:cs="Arial"/>
          <w:color w:val="000000"/>
          <w:kern w:val="0"/>
          <w14:ligatures w14:val="none"/>
        </w:rPr>
        <w:t>§</w:t>
      </w:r>
      <w:bookmarkEnd w:id="0"/>
      <w:r>
        <w:rPr>
          <w:rFonts w:ascii="Arial" w:eastAsia="Times New Roman" w:hAnsi="Arial" w:cs="Arial"/>
          <w:color w:val="000000"/>
          <w:kern w:val="0"/>
          <w14:ligatures w14:val="none"/>
        </w:rPr>
        <w:t>310</w:t>
      </w:r>
      <w:r w:rsidRPr="005B1609">
        <w:rPr>
          <w:rFonts w:ascii="Arial" w:eastAsia="Times New Roman" w:hAnsi="Arial" w:cs="Arial"/>
          <w:color w:val="000000"/>
          <w:kern w:val="0"/>
          <w14:ligatures w14:val="none"/>
        </w:rPr>
        <w:t xml:space="preserve"> and</w:t>
      </w:r>
      <w:r w:rsidRPr="00633AC8">
        <w:rPr>
          <w:rFonts w:ascii="Arial" w:eastAsia="Times New Roman" w:hAnsi="Arial" w:cs="Arial"/>
          <w:color w:val="000000"/>
          <w:kern w:val="0"/>
          <w14:ligatures w14:val="none"/>
        </w:rPr>
        <w:t xml:space="preserve"> </w:t>
      </w:r>
      <w:bookmarkStart w:id="1" w:name="_Hlk158714205"/>
      <w:r w:rsidRPr="00633AC8">
        <w:rPr>
          <w:rFonts w:ascii="Arial" w:eastAsia="Times New Roman" w:hAnsi="Arial" w:cs="Arial"/>
          <w:color w:val="000000"/>
          <w:kern w:val="0"/>
          <w14:ligatures w14:val="none"/>
        </w:rPr>
        <w:t>§</w:t>
      </w:r>
      <w:bookmarkEnd w:id="1"/>
      <w:r w:rsidRPr="00633AC8">
        <w:rPr>
          <w:rFonts w:ascii="Arial" w:eastAsia="Times New Roman" w:hAnsi="Arial" w:cs="Arial"/>
          <w:color w:val="000000"/>
          <w:kern w:val="0"/>
          <w14:ligatures w14:val="none"/>
        </w:rPr>
        <w:t>200.326.</w:t>
      </w:r>
    </w:p>
    <w:p w14:paraId="648DE563" w14:textId="77777777" w:rsidR="00027F81" w:rsidRDefault="00027F81" w:rsidP="00027F81">
      <w:pPr>
        <w:spacing w:line="240" w:lineRule="auto"/>
        <w:rPr>
          <w:rFonts w:ascii="Arial" w:eastAsia="Times New Roman" w:hAnsi="Arial" w:cs="Arial"/>
          <w:b/>
          <w:bCs/>
          <w:color w:val="000000"/>
          <w:kern w:val="0"/>
          <w14:ligatures w14:val="none"/>
        </w:rPr>
      </w:pPr>
    </w:p>
    <w:p w14:paraId="32A5E347" w14:textId="77777777" w:rsidR="00027F81" w:rsidRDefault="00027F81" w:rsidP="00027F81">
      <w:pPr>
        <w:spacing w:line="240" w:lineRule="auto"/>
        <w:rPr>
          <w:rFonts w:ascii="Arial" w:eastAsia="Times New Roman" w:hAnsi="Arial" w:cs="Arial"/>
          <w:b/>
          <w:bCs/>
          <w:color w:val="000000"/>
          <w:kern w:val="0"/>
          <w14:ligatures w14:val="none"/>
        </w:rPr>
      </w:pPr>
    </w:p>
    <w:p w14:paraId="210CEC3E" w14:textId="77777777" w:rsidR="00027F81" w:rsidRDefault="00027F81" w:rsidP="00027F81">
      <w:pPr>
        <w:spacing w:line="240" w:lineRule="auto"/>
        <w:rPr>
          <w:rFonts w:ascii="Arial" w:eastAsia="Times New Roman" w:hAnsi="Arial" w:cs="Arial"/>
          <w:b/>
          <w:bCs/>
          <w:color w:val="000000"/>
          <w:kern w:val="0"/>
          <w14:ligatures w14:val="none"/>
        </w:rPr>
      </w:pPr>
    </w:p>
    <w:p w14:paraId="07CFCB03"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E.  Uniform Administrative Requirements, Cost Principals, Audit Requirements for Federal Awards</w:t>
      </w:r>
    </w:p>
    <w:p w14:paraId="49ABE651"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applicable provisions in 2 CFR part 200, Uniform Administrative Requirements, Cost Principles, and Audit Requirements for Federal Awards, 2 CFR part 200.  These provisions include:</w:t>
      </w:r>
    </w:p>
    <w:p w14:paraId="62AF7C0D"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1.</w:t>
      </w:r>
      <w:r w:rsidRPr="00633AC8">
        <w:rPr>
          <w:rFonts w:ascii="Arial" w:eastAsia="Times New Roman" w:hAnsi="Arial" w:cs="Arial"/>
          <w:color w:val="000000"/>
          <w:kern w:val="0"/>
          <w14:ligatures w14:val="none"/>
        </w:rPr>
        <w:tab/>
        <w:t>Financial &amp; Program Management</w:t>
      </w:r>
    </w:p>
    <w:p w14:paraId="0136FBA2" w14:textId="3D35785D"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expend and account for all C</w:t>
      </w:r>
      <w:r w:rsidR="004B596A">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received under this agreement in accordance with 2 CFR part 200, including subpart D, which covers Standards for Financial and Program Management.</w:t>
      </w:r>
    </w:p>
    <w:p w14:paraId="35602176" w14:textId="77777777" w:rsidR="00027F81" w:rsidRPr="00633AC8" w:rsidRDefault="00027F81" w:rsidP="00027F81">
      <w:pPr>
        <w:spacing w:line="240" w:lineRule="auto"/>
        <w:ind w:left="720" w:hanging="720"/>
        <w:rPr>
          <w:rFonts w:ascii="Arial" w:eastAsia="Times New Roman" w:hAnsi="Arial" w:cs="Arial"/>
          <w:kern w:val="0"/>
          <w:sz w:val="24"/>
          <w:szCs w:val="24"/>
          <w14:ligatures w14:val="none"/>
        </w:rPr>
      </w:pPr>
      <w:r>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2.</w:t>
      </w:r>
      <w:r w:rsidRPr="00633AC8">
        <w:rPr>
          <w:rFonts w:ascii="Arial" w:eastAsia="Times New Roman" w:hAnsi="Arial" w:cs="Arial"/>
          <w:color w:val="000000"/>
          <w:kern w:val="0"/>
          <w14:ligatures w14:val="none"/>
        </w:rPr>
        <w:tab/>
        <w:t xml:space="preserve">Costs incurred, whether charged on a direct or an indirect basis, must be in </w:t>
      </w:r>
      <w:r>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 xml:space="preserve">conformance with 2 CFR part 200, subpart E. All items of cost listed in 2 CFR </w:t>
      </w:r>
      <w:r>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 xml:space="preserve">part 200, subpart E, that require prior Federal agency approval are allowable </w:t>
      </w:r>
      <w:r>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 xml:space="preserve">without prior approval of HUD to the extent they comply with the general policies </w:t>
      </w:r>
      <w:r>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 xml:space="preserve">and principles stated in 2 CFR part 200, subpart E and are otherwise eligible </w:t>
      </w:r>
      <w:r>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under this agreement, except for the following:</w:t>
      </w:r>
    </w:p>
    <w:p w14:paraId="43F07AC5" w14:textId="77777777" w:rsidR="00027F81" w:rsidRPr="00633AC8" w:rsidRDefault="00027F81" w:rsidP="00027F81">
      <w:pPr>
        <w:spacing w:line="240" w:lineRule="auto"/>
        <w:ind w:left="216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  Depreciation methods for fixed assets shall not be changed without the approval of the Federal cognizant agency.</w:t>
      </w:r>
    </w:p>
    <w:p w14:paraId="7BA2A0CE" w14:textId="13650F56" w:rsidR="00027F81" w:rsidRPr="00633AC8" w:rsidRDefault="00027F81" w:rsidP="00027F81">
      <w:pPr>
        <w:spacing w:line="240" w:lineRule="auto"/>
        <w:ind w:left="216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w:t>
      </w:r>
      <w:proofErr w:type="gramStart"/>
      <w:r w:rsidRPr="00633AC8">
        <w:rPr>
          <w:rFonts w:ascii="Arial" w:eastAsia="Times New Roman" w:hAnsi="Arial" w:cs="Arial"/>
          <w:color w:val="000000"/>
          <w:kern w:val="0"/>
          <w14:ligatures w14:val="none"/>
        </w:rPr>
        <w:t>)  Fines</w:t>
      </w:r>
      <w:proofErr w:type="gramEnd"/>
      <w:r w:rsidRPr="00633AC8">
        <w:rPr>
          <w:rFonts w:ascii="Arial" w:eastAsia="Times New Roman" w:hAnsi="Arial" w:cs="Arial"/>
          <w:color w:val="000000"/>
          <w:kern w:val="0"/>
          <w14:ligatures w14:val="none"/>
        </w:rPr>
        <w:t>, penalties, damages, and other settlements are unallowable costs to the C</w:t>
      </w:r>
      <w:r w:rsidR="00457175">
        <w:rPr>
          <w:rFonts w:ascii="Arial" w:eastAsia="Times New Roman" w:hAnsi="Arial" w:cs="Arial"/>
          <w:color w:val="000000"/>
          <w:kern w:val="0"/>
          <w14:ligatures w14:val="none"/>
        </w:rPr>
        <w:t xml:space="preserve">PF </w:t>
      </w:r>
      <w:r w:rsidRPr="00633AC8">
        <w:rPr>
          <w:rFonts w:ascii="Arial" w:eastAsia="Times New Roman" w:hAnsi="Arial" w:cs="Arial"/>
          <w:color w:val="000000"/>
          <w:kern w:val="0"/>
          <w14:ligatures w14:val="none"/>
        </w:rPr>
        <w:t>program.</w:t>
      </w:r>
    </w:p>
    <w:p w14:paraId="29000110" w14:textId="77777777" w:rsidR="00027F81" w:rsidRPr="00633AC8" w:rsidRDefault="00027F81" w:rsidP="00027F81">
      <w:pPr>
        <w:spacing w:line="240" w:lineRule="auto"/>
        <w:ind w:left="216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(iii)  Costs of housing (e.g., depreciation, maintenance, utilities, furnishings, rent), housing allowances and personal living expenses (goods or services for personal use) regardless of whether reported as taxable income to the employees (2 CFR 200.445);</w:t>
      </w:r>
    </w:p>
    <w:p w14:paraId="003590F8" w14:textId="77777777" w:rsidR="00027F81" w:rsidRPr="00633AC8" w:rsidRDefault="00027F81" w:rsidP="00027F81">
      <w:pPr>
        <w:spacing w:line="240" w:lineRule="auto"/>
        <w:ind w:left="144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(iv)  Organization costs (2 CFR 200.455); and</w:t>
      </w:r>
    </w:p>
    <w:p w14:paraId="22071884" w14:textId="77777777" w:rsidR="00027F81" w:rsidRPr="00633AC8" w:rsidRDefault="00027F81" w:rsidP="00027F81">
      <w:pPr>
        <w:spacing w:line="240" w:lineRule="auto"/>
        <w:ind w:left="144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(v)  Pre-Award Costs, as limited by this agreement.</w:t>
      </w:r>
    </w:p>
    <w:p w14:paraId="0544500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F.  Documentation and Record Keeping</w:t>
      </w:r>
    </w:p>
    <w:p w14:paraId="28BFF19E"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1.</w:t>
      </w:r>
      <w:r w:rsidRPr="00633AC8">
        <w:rPr>
          <w:rFonts w:ascii="Arial" w:eastAsia="Times New Roman" w:hAnsi="Arial" w:cs="Arial"/>
          <w:b/>
          <w:bCs/>
          <w:color w:val="000000"/>
          <w:kern w:val="0"/>
          <w14:ligatures w14:val="none"/>
        </w:rPr>
        <w:tab/>
        <w:t>Records to be Maintained</w:t>
      </w:r>
    </w:p>
    <w:p w14:paraId="66A50DA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establish and maintain records sufficient to enable the Grantee to (1) determine whether the Contractor has complied with this agreement, applicable Federal statutes and regulations, and the terms and conditions of the Grantee’s Federal award and (2) satisfy recordkeeping requirements applicable to the Grantee. These records include the records described in Section III. of this agreement, Scope of Service</w:t>
      </w:r>
    </w:p>
    <w:p w14:paraId="65094536"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At a minimum, the Contractor shall maintain records required by:</w:t>
      </w:r>
    </w:p>
    <w:p w14:paraId="2FB1136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Contractor shall maintain records required by 24 CFR 570.506 as if the requirements in 24 CFR 570.506 were directly imposed upon the Contactor.</w:t>
      </w:r>
    </w:p>
    <w:p w14:paraId="3741B6F3"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lastRenderedPageBreak/>
        <w:t>To comply with 24 CFR 570.490 the Contractor agrees to maintain records sufficient to enable HUD to make the determinations described at 24 CFR 570.493, and maintains any records necessary for fair housing and equal opportunity purposes.</w:t>
      </w:r>
    </w:p>
    <w:p w14:paraId="6F145706"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maintain financial records as required by 24 CFR 570.502, and 2 CFR part 200, including records necessary to demonstrate compliance with all applicable procurement requirements; and other records necessary to document compliance with this agreement, any other applicable Federal statutes and regulations, and the terms and conditions of Grantee’s Federal award.</w:t>
      </w:r>
    </w:p>
    <w:p w14:paraId="7A5B7DB5"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2.</w:t>
      </w:r>
      <w:r w:rsidRPr="00633AC8">
        <w:rPr>
          <w:rFonts w:ascii="Arial" w:eastAsia="Times New Roman" w:hAnsi="Arial" w:cs="Arial"/>
          <w:b/>
          <w:bCs/>
          <w:color w:val="000000"/>
          <w:kern w:val="0"/>
          <w14:ligatures w14:val="none"/>
        </w:rPr>
        <w:tab/>
        <w:t>Access to Records</w:t>
      </w:r>
    </w:p>
    <w:p w14:paraId="22F284C3"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permit the Grantee and auditors to have access to the Contractor's records and financial statements as necessary for the Grantee to meet its audit requirements under the Federal award and comply with</w:t>
      </w:r>
      <w:r>
        <w:rPr>
          <w:rFonts w:ascii="Arial" w:eastAsia="Times New Roman" w:hAnsi="Arial" w:cs="Arial"/>
          <w:color w:val="000000"/>
          <w:kern w:val="0"/>
          <w14:ligatures w14:val="none"/>
        </w:rPr>
        <w:t xml:space="preserve"> 2 CFR 200.336, 24 CFR 200.331(b), and 24 CFR 570.508.</w:t>
      </w:r>
    </w:p>
    <w:p w14:paraId="4CDBF7FE"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1B5168">
        <w:rPr>
          <w:rFonts w:ascii="Arial" w:eastAsia="Times New Roman" w:hAnsi="Arial" w:cs="Arial"/>
          <w:b/>
          <w:bCs/>
          <w:color w:val="000000"/>
          <w:kern w:val="0"/>
          <w14:ligatures w14:val="none"/>
        </w:rPr>
        <w:t>3</w:t>
      </w:r>
      <w:r w:rsidRPr="00633AC8">
        <w:rPr>
          <w:rFonts w:ascii="Arial" w:eastAsia="Times New Roman" w:hAnsi="Arial" w:cs="Arial"/>
          <w:b/>
          <w:bCs/>
          <w:color w:val="000000"/>
          <w:kern w:val="0"/>
          <w14:ligatures w14:val="none"/>
        </w:rPr>
        <w:t>.</w:t>
      </w:r>
      <w:r w:rsidRPr="00633AC8">
        <w:rPr>
          <w:rFonts w:ascii="Arial" w:eastAsia="Times New Roman" w:hAnsi="Arial" w:cs="Arial"/>
          <w:b/>
          <w:bCs/>
          <w:color w:val="000000"/>
          <w:kern w:val="0"/>
          <w14:ligatures w14:val="none"/>
        </w:rPr>
        <w:tab/>
        <w:t>Record Retention and Transmission of Records to the Grantee</w:t>
      </w:r>
    </w:p>
    <w:p w14:paraId="2DC5AC3B"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Prior to grant closeout of this agreement, the Contractor must transmit to the Grantee records sufficient for the Grantee to demonstrate that all costs under this agreement met the requirements of the Federal award.</w:t>
      </w:r>
    </w:p>
    <w:p w14:paraId="136D2EED"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Contractor shall retain financial records, supporting documents, statistical records, and all other Contractor records pertinent to this agreement and Contractor subaward for the longer of 3 years after the expiration or termination of this agreement, or 3 years after the submission of the Grantee’s annual performance and evaluation report, as prescribed in § 91.520 of this title or in the applicable Federal Register notices governing the use of the funds, in which the specific activity is reported on for the final time.</w:t>
      </w:r>
    </w:p>
    <w:p w14:paraId="5EADE541"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preceding requirement is however, subject to the following exceptions:</w:t>
      </w:r>
    </w:p>
    <w:p w14:paraId="5040E06E"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  Records for activities subject to the reversion of assets provisions at 24 CFR § 570.503(b)(7) or change of use provisions at 24 CFR § 570.505 must be maintained for as long as those provisions continue to apply to the activity, otherwise, records for real property and equipment acquired under this agreement must be retained for 3 years after final disposition;</w:t>
      </w:r>
    </w:p>
    <w:p w14:paraId="63EEB26D"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  Records for individual activities for which there are outstanding loan balances, other receivables, or contingent liabilities must be retained until such receivables or liabilities have been satisfied;</w:t>
      </w:r>
    </w:p>
    <w:p w14:paraId="573FF0F7"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(iii) If any litigation, claim, or audit is started before the expiration of the 3-year period, the records must be retained until all litigation, claims, or audit findings involving the records have been resolved and final action taken;</w:t>
      </w:r>
    </w:p>
    <w:p w14:paraId="4B0C06C0"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(iv) When the Contractor is notified in writing by HUD, the cognizant agency for audit as defined in</w:t>
      </w:r>
      <w:r>
        <w:rPr>
          <w:rFonts w:ascii="Arial" w:eastAsia="Times New Roman" w:hAnsi="Arial" w:cs="Arial"/>
          <w:color w:val="000000"/>
          <w:kern w:val="0"/>
          <w14:ligatures w14:val="none"/>
        </w:rPr>
        <w:t xml:space="preserve"> 2 CFR 200.1,</w:t>
      </w:r>
      <w:r w:rsidRPr="00633AC8">
        <w:rPr>
          <w:rFonts w:ascii="Arial" w:eastAsia="Times New Roman" w:hAnsi="Arial" w:cs="Arial"/>
          <w:color w:val="000000"/>
          <w:kern w:val="0"/>
          <w14:ligatures w14:val="none"/>
        </w:rPr>
        <w:t xml:space="preserve"> the oversight agency for audit as defined in </w:t>
      </w:r>
      <w:r>
        <w:rPr>
          <w:rFonts w:ascii="Arial" w:eastAsia="Times New Roman" w:hAnsi="Arial" w:cs="Arial"/>
          <w:color w:val="000000"/>
          <w:kern w:val="0"/>
          <w14:ligatures w14:val="none"/>
        </w:rPr>
        <w:t>2 CFR 200.1</w:t>
      </w:r>
      <w:r w:rsidRPr="00633AC8">
        <w:rPr>
          <w:rFonts w:ascii="Arial" w:eastAsia="Times New Roman" w:hAnsi="Arial" w:cs="Arial"/>
          <w:color w:val="000000"/>
          <w:kern w:val="0"/>
          <w14:ligatures w14:val="none"/>
        </w:rPr>
        <w:t>, the cognizant agency for indirect costs as defined in</w:t>
      </w:r>
      <w:r>
        <w:rPr>
          <w:rFonts w:ascii="Arial" w:eastAsia="Times New Roman" w:hAnsi="Arial" w:cs="Arial"/>
          <w:color w:val="000000"/>
          <w:kern w:val="0"/>
          <w14:ligatures w14:val="none"/>
        </w:rPr>
        <w:t xml:space="preserve"> 2 CFR 200,1</w:t>
      </w:r>
      <w:r w:rsidRPr="00633AC8">
        <w:rPr>
          <w:rFonts w:ascii="Arial" w:eastAsia="Times New Roman" w:hAnsi="Arial" w:cs="Arial"/>
          <w:color w:val="000000"/>
          <w:kern w:val="0"/>
          <w14:ligatures w14:val="none"/>
        </w:rPr>
        <w:t>, or the Grantee, the Contractor shall extend the retention period consistent with the notification;</w:t>
      </w:r>
    </w:p>
    <w:p w14:paraId="276BD77B"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lastRenderedPageBreak/>
        <w:t>(v) When records are transferred to or maintained by HUD or the Grantee, the 3-year retention requirement is not applicable to the Contractor;</w:t>
      </w:r>
    </w:p>
    <w:p w14:paraId="6F365A7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(vi) (If the Grantee is required to report on program income after the period of performance) The retention period for the records pertaining to the earning of the program income (as defined in this agreement) starts from the end of the Grantee's fiscal year in which the program income is earned; and</w:t>
      </w:r>
    </w:p>
    <w:p w14:paraId="13390D01"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(vii) For indirect cost rate computations or proposals, cost allocation plans, and any similar accounting computations of the rate at which a particular group of costs is chargeable (such as computer usage chargeback rates or composite fringe benefit rates), and their supporting records:</w:t>
      </w:r>
    </w:p>
    <w:p w14:paraId="0EB49265" w14:textId="77777777" w:rsidR="00027F81" w:rsidRPr="00633AC8" w:rsidRDefault="00027F81" w:rsidP="00027F81">
      <w:pPr>
        <w:spacing w:line="240" w:lineRule="auto"/>
        <w:ind w:left="216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 If submitted for negotiation. If the proposal, plan, or other computation is required to be submitted to the Federal Government (or to the Grantee) to form the basis for negotiation of the rate, then the 3-year retention period for its supporting records starts from the date of such submission.</w:t>
      </w:r>
    </w:p>
    <w:p w14:paraId="4060D48E" w14:textId="77777777" w:rsidR="00027F81" w:rsidRPr="00633AC8" w:rsidRDefault="00027F81" w:rsidP="00027F81">
      <w:pPr>
        <w:spacing w:line="240" w:lineRule="auto"/>
        <w:ind w:left="216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b. If not submitted for negotiation. If the proposal, plan, or other computation is not required to be submitted to the Federal Government (or to the Grantee) for negotiation purposes, then the 3-year retention period for the proposal, plan, or computation and its supporting records starts from the end of the fiscal year (or other accounting period) covered by the proposal, plan, or other computation.]</w:t>
      </w:r>
    </w:p>
    <w:p w14:paraId="5DC71756"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1B5168">
        <w:rPr>
          <w:rFonts w:ascii="Arial" w:eastAsia="Times New Roman" w:hAnsi="Arial" w:cs="Arial"/>
          <w:b/>
          <w:bCs/>
          <w:color w:val="000000"/>
          <w:kern w:val="0"/>
          <w14:ligatures w14:val="none"/>
        </w:rPr>
        <w:t>4</w:t>
      </w:r>
      <w:r w:rsidRPr="00633AC8">
        <w:rPr>
          <w:rFonts w:ascii="Arial" w:eastAsia="Times New Roman" w:hAnsi="Arial" w:cs="Arial"/>
          <w:color w:val="000000"/>
          <w:kern w:val="0"/>
          <w14:ligatures w14:val="none"/>
        </w:rPr>
        <w:t xml:space="preserve">.  </w:t>
      </w: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Client Data and Other Sensitive Information</w:t>
      </w:r>
    </w:p>
    <w:p w14:paraId="39D73095"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is required to maintain data demonstrating client eligibility for activities provided under this agreement. Such data may include, but not be limited to, client name, address, income level or other basis for determining eligibility, and description of activities provided.</w:t>
      </w:r>
    </w:p>
    <w:p w14:paraId="0F6FA50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must comply with 2 CFR §200.303 and take reasonable measures to safeguard protected personally identifiable information, as defined in</w:t>
      </w:r>
      <w:r>
        <w:rPr>
          <w:rFonts w:ascii="Arial" w:eastAsia="Times New Roman" w:hAnsi="Arial" w:cs="Arial"/>
          <w:color w:val="000000"/>
          <w:kern w:val="0"/>
          <w14:ligatures w14:val="none"/>
        </w:rPr>
        <w:t xml:space="preserve"> 2 CFR 200.1,</w:t>
      </w:r>
      <w:r w:rsidRPr="00633AC8">
        <w:rPr>
          <w:rFonts w:ascii="Arial" w:eastAsia="Times New Roman" w:hAnsi="Arial" w:cs="Arial"/>
          <w:color w:val="000000"/>
          <w:kern w:val="0"/>
          <w14:ligatures w14:val="none"/>
        </w:rPr>
        <w:t xml:space="preserve"> and other information HUD or the Grantee designates as sensitive or the Contractor considers sensitive consistent with applicable Federal, state, local, and tribal laws regarding privacy and obligations of confidentiality.</w:t>
      </w:r>
    </w:p>
    <w:p w14:paraId="491A389C"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G.  Grant Closeout</w:t>
      </w:r>
    </w:p>
    <w:p w14:paraId="0DFA8E51" w14:textId="4C67BE4D"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closeout its use of the C</w:t>
      </w:r>
      <w:r w:rsidR="00D92CFD">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and its obligations under this agreement by complying with the closeout procedures in </w:t>
      </w:r>
      <w:r>
        <w:rPr>
          <w:rFonts w:ascii="Arial" w:eastAsia="Times New Roman" w:hAnsi="Arial" w:cs="Arial"/>
          <w:color w:val="000000"/>
          <w:kern w:val="0"/>
          <w14:ligatures w14:val="none"/>
        </w:rPr>
        <w:t xml:space="preserve">2 CFR </w:t>
      </w:r>
      <w:bookmarkStart w:id="2" w:name="_Hlk158716036"/>
      <w:r w:rsidRPr="00633AC8">
        <w:rPr>
          <w:rFonts w:ascii="Arial" w:eastAsia="Times New Roman" w:hAnsi="Arial" w:cs="Arial"/>
          <w:color w:val="000000"/>
          <w:kern w:val="0"/>
          <w14:ligatures w14:val="none"/>
        </w:rPr>
        <w:t>§</w:t>
      </w:r>
      <w:bookmarkEnd w:id="2"/>
      <w:r>
        <w:rPr>
          <w:rFonts w:ascii="Arial" w:eastAsia="Times New Roman" w:hAnsi="Arial" w:cs="Arial"/>
          <w:color w:val="000000"/>
          <w:kern w:val="0"/>
          <w14:ligatures w14:val="none"/>
        </w:rPr>
        <w:t xml:space="preserve"> 200.344.</w:t>
      </w:r>
      <w:r w:rsidRPr="00633AC8">
        <w:rPr>
          <w:rFonts w:ascii="Arial" w:eastAsia="Times New Roman" w:hAnsi="Arial" w:cs="Arial"/>
          <w:color w:val="000000"/>
          <w:kern w:val="0"/>
          <w14:ligatures w14:val="none"/>
        </w:rPr>
        <w:t xml:space="preserve"> Activities during this close-out period may include, but are not limited to: making final payments, disposing of program assets (including the return of all unused materials, equipment, unspent cash advances, program income balances, and accounts receivable to the Grantee), and determining the custodianship of records.</w:t>
      </w:r>
    </w:p>
    <w:p w14:paraId="60328481"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Notwithstanding the terms of</w:t>
      </w:r>
      <w:r>
        <w:rPr>
          <w:rFonts w:ascii="Arial" w:eastAsia="Times New Roman" w:hAnsi="Arial" w:cs="Arial"/>
          <w:color w:val="000000"/>
          <w:kern w:val="0"/>
          <w14:ligatures w14:val="none"/>
        </w:rPr>
        <w:t xml:space="preserve"> 2 CFR </w:t>
      </w:r>
      <w:r w:rsidRPr="00633AC8">
        <w:rPr>
          <w:rFonts w:ascii="Arial" w:eastAsia="Times New Roman" w:hAnsi="Arial" w:cs="Arial"/>
          <w:color w:val="000000"/>
          <w:kern w:val="0"/>
          <w14:ligatures w14:val="none"/>
        </w:rPr>
        <w:t>§</w:t>
      </w:r>
      <w:r>
        <w:rPr>
          <w:rFonts w:ascii="Arial" w:eastAsia="Times New Roman" w:hAnsi="Arial" w:cs="Arial"/>
          <w:color w:val="000000"/>
          <w:kern w:val="0"/>
          <w14:ligatures w14:val="none"/>
        </w:rPr>
        <w:t xml:space="preserve"> 200.344</w:t>
      </w:r>
      <w:r w:rsidRPr="00633AC8">
        <w:rPr>
          <w:rFonts w:ascii="Arial" w:eastAsia="Times New Roman" w:hAnsi="Arial" w:cs="Arial"/>
          <w:color w:val="000000"/>
          <w:kern w:val="0"/>
          <w14:ligatures w14:val="none"/>
        </w:rPr>
        <w:t>, upon the expiration of this agreement, the Contractor shall transfer to the recipient any CDBG funds on hand at the time of expiration and any accounts receivable attributable to the use of CDBG funds, further, any real property under the Contractor control that was acquired or improved in whole or in part with CDBG funds (including CDBG funds provided to the Contractor in the form of a loan) shall be treated in accordance with 24 CFR 570.503(b)(7).</w:t>
      </w:r>
    </w:p>
    <w:p w14:paraId="0D1222DB" w14:textId="77777777" w:rsidR="00027F81" w:rsidRDefault="00027F81" w:rsidP="00027F81">
      <w:pPr>
        <w:spacing w:line="240" w:lineRule="auto"/>
        <w:rPr>
          <w:rFonts w:ascii="Arial" w:eastAsia="Times New Roman" w:hAnsi="Arial" w:cs="Arial"/>
          <w:b/>
          <w:bCs/>
          <w:color w:val="000000"/>
          <w:kern w:val="0"/>
          <w14:ligatures w14:val="none"/>
        </w:rPr>
      </w:pPr>
    </w:p>
    <w:p w14:paraId="0BCFE4CF" w14:textId="77777777" w:rsidR="00027F81" w:rsidRDefault="00027F81" w:rsidP="00027F81">
      <w:pPr>
        <w:spacing w:line="240" w:lineRule="auto"/>
        <w:rPr>
          <w:rFonts w:ascii="Arial" w:eastAsia="Times New Roman" w:hAnsi="Arial" w:cs="Arial"/>
          <w:b/>
          <w:bCs/>
          <w:color w:val="000000"/>
          <w:kern w:val="0"/>
          <w14:ligatures w14:val="none"/>
        </w:rPr>
      </w:pPr>
    </w:p>
    <w:p w14:paraId="418983FC" w14:textId="77777777" w:rsidR="00027F81" w:rsidRDefault="00027F81" w:rsidP="00027F81">
      <w:pPr>
        <w:spacing w:line="240" w:lineRule="auto"/>
        <w:rPr>
          <w:rFonts w:ascii="Arial" w:eastAsia="Times New Roman" w:hAnsi="Arial" w:cs="Arial"/>
          <w:b/>
          <w:bCs/>
          <w:color w:val="000000"/>
          <w:kern w:val="0"/>
          <w14:ligatures w14:val="none"/>
        </w:rPr>
      </w:pPr>
    </w:p>
    <w:p w14:paraId="53992985" w14:textId="77777777" w:rsidR="00027F81" w:rsidRDefault="00027F81" w:rsidP="00027F81">
      <w:pPr>
        <w:spacing w:line="240" w:lineRule="auto"/>
        <w:rPr>
          <w:rFonts w:ascii="Arial" w:eastAsia="Times New Roman" w:hAnsi="Arial" w:cs="Arial"/>
          <w:b/>
          <w:bCs/>
          <w:color w:val="000000"/>
          <w:kern w:val="0"/>
          <w14:ligatures w14:val="none"/>
        </w:rPr>
      </w:pPr>
    </w:p>
    <w:p w14:paraId="35DABE64"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H. Audits, Inspections, and Monitoring</w:t>
      </w:r>
    </w:p>
    <w:p w14:paraId="23C6CB76"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1.</w:t>
      </w:r>
      <w:r w:rsidRPr="00633AC8">
        <w:rPr>
          <w:rFonts w:ascii="Arial" w:eastAsia="Times New Roman" w:hAnsi="Arial" w:cs="Arial"/>
          <w:color w:val="000000"/>
          <w:kern w:val="0"/>
          <w14:ligatures w14:val="none"/>
        </w:rPr>
        <w:tab/>
        <w:t>Single Audit</w:t>
      </w:r>
    </w:p>
    <w:p w14:paraId="1C782C23"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must be audited as required by 2 CFR part 200, subpart F when it is expected that the Contractor's Federal awards expended during the respective fiscal year equaled or exceeded the threshold set forth in §200.501 Audit requirements.</w:t>
      </w:r>
    </w:p>
    <w:p w14:paraId="4941EC04"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2</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Inspections and Monitoring</w:t>
      </w:r>
    </w:p>
    <w:p w14:paraId="0108433A"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permit the Grantee and auditors to have access to the Contractor's records and financial statements as necessary for the Grantee to meet the requirements of 2 CFR part 200.</w:t>
      </w:r>
    </w:p>
    <w:p w14:paraId="3507BF85"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must submit to monitoring of its activities by the Grantee as necessary to ensure that the subaward is used for authorized purposes, in compliance with Federal statutes, regulations, and the terms and conditions of this agreement.</w:t>
      </w:r>
    </w:p>
    <w:p w14:paraId="054B14AF"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This review must include: (1) reviewing financial and performance reports required by the Grantee; (2) following-up and ensuring that the Contractor takes timely and appropriate action on all deficiencies pertaining to the Federal award provided to the Contractor from the Grantee detected through audits, on-site reviews, and other means; and (3) issuing a management decision for audit findings pertaining to this Federal award provided to the Contractor from the Grantee as required by 2 CFR §200.521.</w:t>
      </w:r>
    </w:p>
    <w:p w14:paraId="2C652181"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286806">
        <w:rPr>
          <w:rFonts w:ascii="Arial" w:eastAsia="Times New Roman" w:hAnsi="Arial" w:cs="Arial"/>
          <w:b/>
          <w:bCs/>
          <w:color w:val="000000"/>
          <w:kern w:val="0"/>
          <w14:ligatures w14:val="none"/>
        </w:rPr>
        <w:t>3</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Corrective Actions</w:t>
      </w:r>
    </w:p>
    <w:p w14:paraId="3EC31C3B" w14:textId="1CCEA416"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Grantee may issue management decisions and may consider taking enforcement actions if noncompliance is detected during audits. The Grantee may require the Contractor to take timely and appropriate action on all deficiencies pertaining to the Federal award provided to the contractor from the pass-through entity detected through audits, on-site reviews, and other means. In response to audit deficiencies or other findings of noncompliance with this agreement, </w:t>
      </w:r>
      <w:proofErr w:type="gramStart"/>
      <w:r w:rsidRPr="00633AC8">
        <w:rPr>
          <w:rFonts w:ascii="Arial" w:eastAsia="Times New Roman" w:hAnsi="Arial" w:cs="Arial"/>
          <w:color w:val="000000"/>
          <w:kern w:val="0"/>
          <w14:ligatures w14:val="none"/>
        </w:rPr>
        <w:t>Grantee</w:t>
      </w:r>
      <w:proofErr w:type="gramEnd"/>
      <w:r w:rsidRPr="00633AC8">
        <w:rPr>
          <w:rFonts w:ascii="Arial" w:eastAsia="Times New Roman" w:hAnsi="Arial" w:cs="Arial"/>
          <w:color w:val="000000"/>
          <w:kern w:val="0"/>
          <w14:ligatures w14:val="none"/>
        </w:rPr>
        <w:t xml:space="preserve"> may impose additional conditions on the use of the C</w:t>
      </w:r>
      <w:r w:rsidR="00D92CFD">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to ensure future </w:t>
      </w:r>
      <w:proofErr w:type="gramStart"/>
      <w:r w:rsidRPr="00633AC8">
        <w:rPr>
          <w:rFonts w:ascii="Arial" w:eastAsia="Times New Roman" w:hAnsi="Arial" w:cs="Arial"/>
          <w:color w:val="000000"/>
          <w:kern w:val="0"/>
          <w14:ligatures w14:val="none"/>
        </w:rPr>
        <w:t>compliance, or</w:t>
      </w:r>
      <w:proofErr w:type="gramEnd"/>
      <w:r w:rsidRPr="00633AC8">
        <w:rPr>
          <w:rFonts w:ascii="Arial" w:eastAsia="Times New Roman" w:hAnsi="Arial" w:cs="Arial"/>
          <w:color w:val="000000"/>
          <w:kern w:val="0"/>
          <w14:ligatures w14:val="none"/>
        </w:rPr>
        <w:t xml:space="preserve"> provide training and technical assistance as needed to correct noncompliance.</w:t>
      </w:r>
    </w:p>
    <w:p w14:paraId="5E1ED4C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be subject to reviews and audits by the Grantee, including onsite reviews of the Contractor as may be necessary or appropriate to meet the requirements of 42 U.S.C. 5304(e)(2).</w:t>
      </w:r>
    </w:p>
    <w:p w14:paraId="5FD556BE"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I.  Procurement and Contractor Oversite</w:t>
      </w:r>
    </w:p>
    <w:p w14:paraId="166D945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procurement standards in 2 CFR §200.318 - §200.326 when procuring property and services under this agreement.</w:t>
      </w:r>
    </w:p>
    <w:p w14:paraId="04DF7A03"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lastRenderedPageBreak/>
        <w:t>The Contractor shall impose the Contractor’s obligations under this agreement on its contractors, specifically or by reference, so that such obligations will be binding upon each of its contractors.</w:t>
      </w:r>
    </w:p>
    <w:p w14:paraId="0C587A5E"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must comply with CDBG regulations regarding debarred or suspended entities at insert 24 CFR 570.609. CDBG funds may not be provided to excluded or disqualified persons.</w:t>
      </w:r>
    </w:p>
    <w:p w14:paraId="395B213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maintain oversight of all activities under this agreement and shall ensure that for any procured contract or agreement, its contractors perform according to the terms and conditions of the procured contracts or agreements, and the terms and conditions of this agreement.</w:t>
      </w:r>
    </w:p>
    <w:p w14:paraId="7817311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J.  Property Standards</w:t>
      </w:r>
    </w:p>
    <w:p w14:paraId="2CC3634D" w14:textId="3E32BF4D"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Real property acquired by the Contractor under this agreement shall be subject to 24 CFR 570.505 and the Contractor shall also comply with the Property Standards at 2 CFR 200.310, 2 CFR 200.312, 2 CFR 200.314 through 2 CFR 200.316. The Contractor shall also comply with 2 CFR 200.313 Equipment, except that when the equipment is sold, the proceeds shall be program income, and equipment not needed by the Contractor for activities under this agreement shall be transferred to the Grantee for its C</w:t>
      </w:r>
      <w:r w:rsidR="00D92CFD">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program or shall be retained after compensating the Grantee.</w:t>
      </w:r>
    </w:p>
    <w:p w14:paraId="5EC544EE"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K.  Federal Funding Accountability and Transparency Act (FFATA)</w:t>
      </w:r>
    </w:p>
    <w:p w14:paraId="50F254F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requirements of 2 CFR part 25 Universal Identifier and System for Award Management (SAM). The grantee must have an active registration in SAM in accordance with 2 CFR part 25, appendix A, and must have a Data Universal Numbering System (DUNS) number. The grantee must also comply with provisions of the Federal Funding Accountability and Transparency Act, which includes requirements on executive compensation, and 2 CFR part 170 Reporting Subaward and Executive Compensation Information.</w:t>
      </w:r>
    </w:p>
    <w:p w14:paraId="7BB3A21C"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L.</w:t>
      </w:r>
      <w:r w:rsidRPr="00633AC8">
        <w:rPr>
          <w:rFonts w:ascii="Arial" w:eastAsia="Times New Roman" w:hAnsi="Arial" w:cs="Arial"/>
          <w:color w:val="000000"/>
          <w:kern w:val="0"/>
          <w14:ligatures w14:val="none"/>
        </w:rPr>
        <w:t xml:space="preserve">  </w:t>
      </w:r>
      <w:r w:rsidRPr="00633AC8">
        <w:rPr>
          <w:rFonts w:ascii="Arial" w:eastAsia="Times New Roman" w:hAnsi="Arial" w:cs="Arial"/>
          <w:b/>
          <w:bCs/>
          <w:color w:val="000000"/>
          <w:kern w:val="0"/>
          <w14:ligatures w14:val="none"/>
        </w:rPr>
        <w:t>Nondiscrimination</w:t>
      </w:r>
    </w:p>
    <w:p w14:paraId="355F0675"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1</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24 CFR part 6</w:t>
      </w:r>
    </w:p>
    <w:p w14:paraId="19877AC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will comply with 24 CFR part 6, which implements the provisions of section 109 of title I of the Housing and Community Development Act of 1974 (Title I) (42 U.S.C. 5309). Section 109 provides that no person in the United States shall, on the ground of race, color, national origin, religion, or sex, be excluded from participation in, be denied the benefits of, or be subjected to discrimination under any program or activity funded in whole or in part with Federal financial assistance.</w:t>
      </w:r>
    </w:p>
    <w:p w14:paraId="7D7D76E2" w14:textId="0C190E52"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Contractor will adhere to the prohibitions against discrimination on the basis of age under the Age Discrimination Act of 1975 (42 U.S.C. 6101-6107) (Age Discrimination Act) and the prohibitions against discrimination on the basis of disability under section 504 of the Rehabilitation Act of 1973 (29 U.S.C. 794) (Section 504). Section 109 of the HCDA makes these requirements applicable to programs or activities funded </w:t>
      </w:r>
      <w:proofErr w:type="gramStart"/>
      <w:r w:rsidRPr="00633AC8">
        <w:rPr>
          <w:rFonts w:ascii="Arial" w:eastAsia="Times New Roman" w:hAnsi="Arial" w:cs="Arial"/>
          <w:color w:val="000000"/>
          <w:kern w:val="0"/>
          <w14:ligatures w14:val="none"/>
        </w:rPr>
        <w:t>in whole</w:t>
      </w:r>
      <w:proofErr w:type="gramEnd"/>
      <w:r w:rsidRPr="00633AC8">
        <w:rPr>
          <w:rFonts w:ascii="Arial" w:eastAsia="Times New Roman" w:hAnsi="Arial" w:cs="Arial"/>
          <w:color w:val="000000"/>
          <w:kern w:val="0"/>
          <w14:ligatures w14:val="none"/>
        </w:rPr>
        <w:t xml:space="preserve"> or in part with C</w:t>
      </w:r>
      <w:r w:rsidR="00D92CFD">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Thus, the Contractor shall comply with regulations of 24 CFR part 8, which implement Section 504 for HUD programs, and the regulations of 24 CFR part 146, which implement the Age Discrimination Act for HUD programs.</w:t>
      </w:r>
    </w:p>
    <w:p w14:paraId="5146B975"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2</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Architectural Barriers Act and the Americans with Disabilities Act</w:t>
      </w:r>
    </w:p>
    <w:p w14:paraId="21459300"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lastRenderedPageBreak/>
        <w:t>The Contractor shall ensure that its activities are consistent with requirements of Architectural Barriers Act and the Americans with Disabilities Act.</w:t>
      </w:r>
    </w:p>
    <w:p w14:paraId="05252425"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Architectural Barriers Act of 1968 (42 U.S.C. 4151-4157) requires certain Federal and Federally funded buildings and other facilities to be designed, constructed, or altered in accordance with standards that </w:t>
      </w:r>
      <w:proofErr w:type="gramStart"/>
      <w:r w:rsidRPr="00633AC8">
        <w:rPr>
          <w:rFonts w:ascii="Arial" w:eastAsia="Times New Roman" w:hAnsi="Arial" w:cs="Arial"/>
          <w:color w:val="000000"/>
          <w:kern w:val="0"/>
          <w14:ligatures w14:val="none"/>
        </w:rPr>
        <w:t>insure</w:t>
      </w:r>
      <w:proofErr w:type="gramEnd"/>
      <w:r w:rsidRPr="00633AC8">
        <w:rPr>
          <w:rFonts w:ascii="Arial" w:eastAsia="Times New Roman" w:hAnsi="Arial" w:cs="Arial"/>
          <w:color w:val="000000"/>
          <w:kern w:val="0"/>
          <w14:ligatures w14:val="none"/>
        </w:rPr>
        <w:t xml:space="preserve"> accessibility to, and use by, physically handicapped people. A building or facility designed, constructed, or altered with funds allocated or reallocated under this part after December 11, 1995, and that meets the definition of “residential structure” as defined in 24 CFR 40.2 or the definition of “building” as defined in 41 CFR 101-19.602(a) is subject to the requirements of the Architectural Barriers Act of 1968 (42 U.S.C. 4151-4157) and shall comply with the Uniform Federal Accessibility Standards (appendix A to 24 CFR part 40 for residential structures, and appendix A to 41 CFR part 101-19, subpart 101-19.6, for general type buildings).</w:t>
      </w:r>
    </w:p>
    <w:p w14:paraId="7CE85B4E"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Americans with Disabilities Act (42 U.S.C. 12131; 47 U.S.C. 155, 201, 218 and 225) (ADA) provides comprehensive civil rights to individuals with disabilities in the areas of employment, public accommodations, State and local government services, and telecommunications. It further provides that discrimination includes a failure to design and construct facilities for first occupancy no later than January 26, 1993, that are readily accessible to and usable by individuals with disabilities. Further, the ADA requires the removal of architectural barriers and communication barriers that are structural in nature in existing facilities, where such removal is readily achievable—that is, easily accomplishable and able to be carried out without much difficulty or expense.</w:t>
      </w:r>
    </w:p>
    <w:p w14:paraId="7903C48E"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laws, regulations, and executive orders referenced in 24 CFR 570.607 regarding employment and contracting to the extent they are applicable.</w:t>
      </w:r>
    </w:p>
    <w:p w14:paraId="20987A4B"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3</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Title VI of the Civil Rights Act of 1964 (24 FR part 1)</w:t>
      </w:r>
    </w:p>
    <w:p w14:paraId="149848B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ab/>
        <w:t>(i)</w:t>
      </w:r>
      <w:r w:rsidRPr="00633AC8">
        <w:rPr>
          <w:rFonts w:ascii="Arial" w:eastAsia="Times New Roman" w:hAnsi="Arial" w:cs="Arial"/>
          <w:color w:val="000000"/>
          <w:kern w:val="0"/>
          <w14:ligatures w14:val="none"/>
        </w:rPr>
        <w:tab/>
        <w:t>General Compliance:</w:t>
      </w:r>
    </w:p>
    <w:p w14:paraId="312A7A89"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requirements of Title VI of the Civil Rights Act of 1964 (P.L. 88-352), as amended and 24 CFR 570.601 and 570.602. No person in the United States shall, on the ground of race, color, or national origin, be excluded from participation in, be denied the benefits of, or be otherwise subjected to discrimination under any program or activity funded by this agreement. The specific nondiscrimination provisions at 24 CFR 1.4 apply to the use of these funds. The Contractor shall not intimidate, threaten, coerce, or discriminate against any person for the purpose of interfering with any right or privilege secured by title VI of the Civil Rights Act of 1964 or 24 CFR part 1, or because he has made a complaint, testified, assisted, or participated in any manner in an investigation, proceeding, or hearing under 24 CFR part 1. The identity of complainants shall be kept confidential except to the extent necessary to carry out the purposes of 2 CFR part 1, including the conduct of any investigation, hearing, or judicial proceeding arising thereunder.</w:t>
      </w:r>
    </w:p>
    <w:p w14:paraId="45AB9C61"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w:t>
      </w:r>
      <w:r w:rsidRPr="00633AC8">
        <w:rPr>
          <w:rFonts w:ascii="Arial" w:eastAsia="Times New Roman" w:hAnsi="Arial" w:cs="Arial"/>
          <w:color w:val="000000"/>
          <w:kern w:val="0"/>
          <w14:ligatures w14:val="none"/>
        </w:rPr>
        <w:tab/>
        <w:t>Assurances and Real Property Covenants:</w:t>
      </w:r>
    </w:p>
    <w:p w14:paraId="639B216F"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As a condition to the approval of this Agreement and the extension of any Federal financial assistance, the Contractor assures that the program or activities described in this Agreement will be conducted and the housing, </w:t>
      </w:r>
      <w:r w:rsidRPr="00633AC8">
        <w:rPr>
          <w:rFonts w:ascii="Arial" w:eastAsia="Times New Roman" w:hAnsi="Arial" w:cs="Arial"/>
          <w:color w:val="000000"/>
          <w:kern w:val="0"/>
          <w14:ligatures w14:val="none"/>
        </w:rPr>
        <w:lastRenderedPageBreak/>
        <w:t>accommodations, facilities, services, financial aid, or other benefits to be provided will be operated and administered in compliance with all requirements imposed by or pursuant to this part 1.</w:t>
      </w:r>
    </w:p>
    <w:p w14:paraId="515E8440"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If the Federal financial assistance under this agreement is to provide or is in the form of personal property or real property or interest therein or structures thereon, the Contractor’s assurance herein shall obligate the Contractor or, in the case of a subsequent transfer, the transferee, for the period during which the property is used for a purpose for which the Federal financial assistance is extended or for another purpose involving the provision of similar services or benefits, or for as long as the recipient retains ownership or possession of the property, whichever is longer. In all other cases the assurance shall obligate the Contractor for the period during which Federal financial assistance is extended pursuant to the contract or application.</w:t>
      </w:r>
    </w:p>
    <w:p w14:paraId="32047ECA"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This assurance gives the Grantee and the United States a right to seek judicial enforcement of the assurance and the requirements on real property.</w:t>
      </w:r>
    </w:p>
    <w:p w14:paraId="7180E8AA" w14:textId="59820006"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In the case of real property, structures or improvements thereon, or interests therein, acquired with Federal financial assistance under this Agreement or acquired with C</w:t>
      </w:r>
      <w:r w:rsidR="00DE2496">
        <w:rPr>
          <w:rFonts w:ascii="Arial" w:eastAsia="Times New Roman" w:hAnsi="Arial" w:cs="Arial"/>
          <w:color w:val="000000"/>
          <w:kern w:val="0"/>
          <w14:ligatures w14:val="none"/>
        </w:rPr>
        <w:t>PF</w:t>
      </w:r>
      <w:r w:rsidRPr="00633AC8">
        <w:rPr>
          <w:rFonts w:ascii="Arial" w:eastAsia="Times New Roman" w:hAnsi="Arial" w:cs="Arial"/>
          <w:color w:val="000000"/>
          <w:kern w:val="0"/>
          <w14:ligatures w14:val="none"/>
        </w:rPr>
        <w:t xml:space="preserve"> funds and provided to the Contractor Under this Agreement, the instrument effecting any disposition by the Contractor of such real property, structures or improvements thereon, or interests therein, shall contain a covenant running with the land assuring nondiscrimination for the period during which the real property is used for a purpose for which the Federal financial assistance is extended or for another purpose involving the provision of similar services or benefits.</w:t>
      </w:r>
    </w:p>
    <w:p w14:paraId="796AC76D"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If the Contractor receives real property interests or funds or for the acquisition of real property interests under this Agreement, to the extent that rights to space on, over, or under any such property are included as part of the program receiving such assistance, the nondiscrimination requirements of this part 1 shall extend to any facility located wholly or in part in such space.</w:t>
      </w:r>
    </w:p>
    <w:p w14:paraId="1071A29A"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4</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Affirmative Action</w:t>
      </w:r>
      <w:r w:rsidRPr="00633AC8">
        <w:rPr>
          <w:rFonts w:ascii="Arial" w:eastAsia="Times New Roman" w:hAnsi="Arial" w:cs="Arial"/>
          <w:color w:val="000000"/>
          <w:kern w:val="0"/>
          <w14:ligatures w14:val="none"/>
        </w:rPr>
        <w:tab/>
      </w:r>
    </w:p>
    <w:p w14:paraId="7277A71D"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w:t>
      </w:r>
      <w:r w:rsidRPr="00633AC8">
        <w:rPr>
          <w:rFonts w:ascii="Arial" w:eastAsia="Times New Roman" w:hAnsi="Arial" w:cs="Arial"/>
          <w:color w:val="000000"/>
          <w:kern w:val="0"/>
          <w14:ligatures w14:val="none"/>
        </w:rPr>
        <w:tab/>
        <w:t>Approved Plan</w:t>
      </w:r>
    </w:p>
    <w:p w14:paraId="7352F413"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The Contractor agrees that it shall carry out pursuant to the Grantee’s specifications an Affirmative Action Program in compliance with the President’s Executive Order 11246 of September 24, 1966, as amended, and implementing regulations at </w:t>
      </w:r>
      <w:r>
        <w:rPr>
          <w:rFonts w:ascii="Arial" w:eastAsia="Times New Roman" w:hAnsi="Arial" w:cs="Arial"/>
          <w:color w:val="000000"/>
          <w:kern w:val="0"/>
          <w14:ligatures w14:val="none"/>
        </w:rPr>
        <w:t xml:space="preserve">41 chapter 60. </w:t>
      </w:r>
      <w:r w:rsidRPr="00633AC8">
        <w:rPr>
          <w:rFonts w:ascii="Arial" w:eastAsia="Times New Roman" w:hAnsi="Arial" w:cs="Arial"/>
          <w:color w:val="000000"/>
          <w:kern w:val="0"/>
          <w14:ligatures w14:val="none"/>
        </w:rPr>
        <w:t>The Grantee shall provide Affirmative Action guidelines to the Contractor to assist in the formulation of such program. The Contractor shall submit a plan for an Affirmative Action Program for approval prior to the release of funds under this agreement.</w:t>
      </w:r>
    </w:p>
    <w:p w14:paraId="506A7683"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w:t>
      </w:r>
      <w:r w:rsidRPr="00633AC8">
        <w:rPr>
          <w:rFonts w:ascii="Arial" w:eastAsia="Times New Roman" w:hAnsi="Arial" w:cs="Arial"/>
          <w:color w:val="000000"/>
          <w:kern w:val="0"/>
          <w14:ligatures w14:val="none"/>
        </w:rPr>
        <w:tab/>
        <w:t>Women- and Minority-Owned Businesses (W/MBE)</w:t>
      </w:r>
    </w:p>
    <w:p w14:paraId="1F5151F0"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take the affirmative steps listed in 2 CFR 200.321(b)(1) through (5) to assure that minority businesses, women’s business enterprises, and labor surplus area firms are used, when possible, when the Contractor procures property or services under this agreement.</w:t>
      </w:r>
    </w:p>
    <w:p w14:paraId="0DC12F92" w14:textId="77777777" w:rsidR="00027F81" w:rsidRPr="00633AC8" w:rsidRDefault="00027F81" w:rsidP="00027F81">
      <w:pPr>
        <w:spacing w:line="240" w:lineRule="auto"/>
        <w:ind w:left="720" w:firstLine="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(iii)</w:t>
      </w:r>
      <w:r w:rsidRPr="00633AC8">
        <w:rPr>
          <w:rFonts w:ascii="Arial" w:eastAsia="Times New Roman" w:hAnsi="Arial" w:cs="Arial"/>
          <w:color w:val="000000"/>
          <w:kern w:val="0"/>
          <w14:ligatures w14:val="none"/>
        </w:rPr>
        <w:tab/>
        <w:t>Notifications</w:t>
      </w:r>
    </w:p>
    <w:p w14:paraId="474A9D2D"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lastRenderedPageBreak/>
        <w:t>The Contractor will send to each labor union or representative of workers with which it has a collective bargaining agreement or other contract or understanding, a notice, to be provided by the agency contracting officer, advising the labor union or worker’s representative of the Contractor’s commitments hereunder, and shall post copies of the notice in conspicuous places available to employees and applicants for employment.</w:t>
      </w:r>
    </w:p>
    <w:p w14:paraId="147C967A"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(iv)</w:t>
      </w:r>
      <w:r w:rsidRPr="00633AC8">
        <w:rPr>
          <w:rFonts w:ascii="Arial" w:eastAsia="Times New Roman" w:hAnsi="Arial" w:cs="Arial"/>
          <w:color w:val="000000"/>
          <w:kern w:val="0"/>
          <w14:ligatures w14:val="none"/>
        </w:rPr>
        <w:tab/>
        <w:t>Equal Employment Opportunity and Affirmative Action (EEO/AA) Statement</w:t>
      </w:r>
    </w:p>
    <w:p w14:paraId="0AA5729B"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in all solicitations or advertisements for employees placed by or on behalf of the Contractor, state that it is an Equal Opportunity or Affirmative Action employer.</w:t>
      </w:r>
    </w:p>
    <w:p w14:paraId="082A6533"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M.  Labor and Employment</w:t>
      </w:r>
    </w:p>
    <w:p w14:paraId="5D79148A" w14:textId="77777777" w:rsidR="00027F81" w:rsidRPr="00633AC8" w:rsidRDefault="00027F81" w:rsidP="00027F81">
      <w:pPr>
        <w:spacing w:line="240" w:lineRule="auto"/>
        <w:ind w:left="72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1.</w:t>
      </w:r>
      <w:r w:rsidRPr="00633AC8">
        <w:rPr>
          <w:rFonts w:ascii="Arial" w:eastAsia="Times New Roman" w:hAnsi="Arial" w:cs="Arial"/>
          <w:color w:val="000000"/>
          <w:kern w:val="0"/>
          <w14:ligatures w14:val="none"/>
        </w:rPr>
        <w:tab/>
        <w:t>Labor Standards</w:t>
      </w:r>
    </w:p>
    <w:p w14:paraId="0915E91F"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in labor standards in Section 110 of the Housing and Community Development Act of 1974, as amended and ensure that all laborers and mechanics employed by contractors or subcontractors in the performance of construction work financed in whole or in part with assistance received under this agreement shall be paid wages at rates not less than those prevailing on similar construction in the locality as determined by the Secretary of Labor in accordance with the Davis- Bacon Act, as amended (40 U.S.C. 3141, et seq.), and 29 CFR part 1, 3, 5, 6, and 7, provided, that this requirement shall apply to the rehabilitation of residential property only if such property contains not less than 8 units.</w:t>
      </w:r>
    </w:p>
    <w:p w14:paraId="289D0ED3"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agrees to comply with the Copeland Anti- Kick Back Act (18 U.S.C. 874) and its implementing regulations of the U.S. Department of Labor at 29 CFR part 3 and part 5. The Contractor shall maintain documentation that demonstrates compliance with applicable hour and wage requirements. Such documentation shall be made available to the Grantee for review upon request.</w:t>
      </w:r>
    </w:p>
    <w:p w14:paraId="2C4E6FD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N.  Section 3 of the Housing and Urban Development Act of 1968</w:t>
      </w:r>
    </w:p>
    <w:p w14:paraId="58259E57"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1</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Compliance</w:t>
      </w:r>
    </w:p>
    <w:p w14:paraId="36384686" w14:textId="77777777" w:rsidR="00027F81" w:rsidRDefault="00027F81" w:rsidP="00027F81">
      <w:pPr>
        <w:spacing w:line="240" w:lineRule="auto"/>
        <w:ind w:left="1440"/>
        <w:rPr>
          <w:rFonts w:ascii="Arial" w:eastAsia="Times New Roman" w:hAnsi="Arial" w:cs="Arial"/>
          <w:color w:val="000000"/>
          <w:kern w:val="0"/>
          <w:shd w:val="clear" w:color="auto" w:fill="FFFF00"/>
          <w14:ligatures w14:val="none"/>
        </w:rPr>
      </w:pPr>
      <w:r w:rsidRPr="00633AC8">
        <w:rPr>
          <w:rFonts w:ascii="Arial" w:eastAsia="Times New Roman" w:hAnsi="Arial" w:cs="Arial"/>
          <w:color w:val="000000"/>
          <w:kern w:val="0"/>
          <w14:ligatures w14:val="none"/>
        </w:rPr>
        <w:t xml:space="preserve">The Contractor shall comply with the provisions of Section 3 of the Housing and Urban Development Act of 1968, as amended, 12 USC 1701u, and implementing its implementing regulations at </w:t>
      </w:r>
      <w:r>
        <w:rPr>
          <w:rFonts w:ascii="Arial" w:eastAsia="Times New Roman" w:hAnsi="Arial" w:cs="Arial"/>
          <w:color w:val="000000"/>
          <w:kern w:val="0"/>
          <w14:ligatures w14:val="none"/>
        </w:rPr>
        <w:t>24 CFR part 75.</w:t>
      </w:r>
    </w:p>
    <w:p w14:paraId="27F65122"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9F7D82">
        <w:rPr>
          <w:rFonts w:ascii="Arial" w:eastAsia="Times New Roman" w:hAnsi="Arial" w:cs="Arial"/>
          <w:kern w:val="0"/>
          <w:sz w:val="24"/>
          <w:szCs w:val="24"/>
          <w14:ligatures w14:val="none"/>
        </w:rPr>
        <w:t xml:space="preserve">To the greatest extent feasible, employment opportunities generated, in whole or in part, by the assistance provided under this Agreement shall be directed toward "Section 3" residents (low and very </w:t>
      </w:r>
      <w:proofErr w:type="gramStart"/>
      <w:r w:rsidRPr="009F7D82">
        <w:rPr>
          <w:rFonts w:ascii="Arial" w:eastAsia="Times New Roman" w:hAnsi="Arial" w:cs="Arial"/>
          <w:kern w:val="0"/>
          <w:sz w:val="24"/>
          <w:szCs w:val="24"/>
          <w14:ligatures w14:val="none"/>
        </w:rPr>
        <w:t>low income</w:t>
      </w:r>
      <w:proofErr w:type="gramEnd"/>
      <w:r w:rsidRPr="009F7D82">
        <w:rPr>
          <w:rFonts w:ascii="Arial" w:eastAsia="Times New Roman" w:hAnsi="Arial" w:cs="Arial"/>
          <w:kern w:val="0"/>
          <w:sz w:val="24"/>
          <w:szCs w:val="24"/>
          <w14:ligatures w14:val="none"/>
        </w:rPr>
        <w:t xml:space="preserve"> residents; particularly, persons in public assisted housing, persons in the neighborhood served by the Agreement, participants in HUD </w:t>
      </w:r>
      <w:proofErr w:type="spellStart"/>
      <w:r w:rsidRPr="009F7D82">
        <w:rPr>
          <w:rFonts w:ascii="Arial" w:eastAsia="Times New Roman" w:hAnsi="Arial" w:cs="Arial"/>
          <w:kern w:val="0"/>
          <w:sz w:val="24"/>
          <w:szCs w:val="24"/>
          <w14:ligatures w14:val="none"/>
        </w:rPr>
        <w:t>Youthbuild</w:t>
      </w:r>
      <w:proofErr w:type="spellEnd"/>
      <w:r w:rsidRPr="009F7D82">
        <w:rPr>
          <w:rFonts w:ascii="Arial" w:eastAsia="Times New Roman" w:hAnsi="Arial" w:cs="Arial"/>
          <w:kern w:val="0"/>
          <w:sz w:val="24"/>
          <w:szCs w:val="24"/>
          <w14:ligatures w14:val="none"/>
        </w:rPr>
        <w:t xml:space="preserve"> programs and homeless persons).</w:t>
      </w:r>
    </w:p>
    <w:p w14:paraId="2F933FA6"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O. Conduct</w:t>
      </w:r>
    </w:p>
    <w:p w14:paraId="3EFD82EB"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ab/>
        <w:t>1.</w:t>
      </w:r>
      <w:r w:rsidRPr="00633AC8">
        <w:rPr>
          <w:rFonts w:ascii="Arial" w:eastAsia="Times New Roman" w:hAnsi="Arial" w:cs="Arial"/>
          <w:color w:val="000000"/>
          <w:kern w:val="0"/>
          <w14:ligatures w14:val="none"/>
        </w:rPr>
        <w:tab/>
        <w:t>Hatch Act</w:t>
      </w:r>
    </w:p>
    <w:p w14:paraId="1E945361" w14:textId="77777777" w:rsidR="00027F81" w:rsidRDefault="00027F81" w:rsidP="00027F81">
      <w:pPr>
        <w:spacing w:line="240" w:lineRule="auto"/>
        <w:ind w:left="1440"/>
        <w:rPr>
          <w:rFonts w:ascii="Arial" w:eastAsia="Times New Roman" w:hAnsi="Arial" w:cs="Arial"/>
          <w:color w:val="000000"/>
          <w:kern w:val="0"/>
          <w14:ligatures w14:val="none"/>
        </w:rPr>
      </w:pPr>
      <w:r w:rsidRPr="00633AC8">
        <w:rPr>
          <w:rFonts w:ascii="Arial" w:eastAsia="Times New Roman" w:hAnsi="Arial" w:cs="Arial"/>
          <w:color w:val="000000"/>
          <w:kern w:val="0"/>
          <w14:ligatures w14:val="none"/>
        </w:rPr>
        <w:lastRenderedPageBreak/>
        <w:t>The Contractor shall comply with the Hatch Act, 5 USC 1501 – 1508, and shall ensure that no funds provided, nor personnel employed under this agreement, shall be in any way or to any extent engaged in the conduct of political activities in violation of Chapter 15 of Title V of the U.S.C.</w:t>
      </w:r>
    </w:p>
    <w:p w14:paraId="3B4F7A31" w14:textId="77777777" w:rsidR="00027F81" w:rsidRDefault="00027F81" w:rsidP="00027F81">
      <w:pPr>
        <w:spacing w:line="240" w:lineRule="auto"/>
        <w:ind w:left="1440"/>
        <w:rPr>
          <w:rFonts w:ascii="Arial" w:eastAsia="Times New Roman" w:hAnsi="Arial" w:cs="Arial"/>
          <w:color w:val="000000"/>
          <w:kern w:val="0"/>
          <w14:ligatures w14:val="none"/>
        </w:rPr>
      </w:pPr>
    </w:p>
    <w:p w14:paraId="730F8E5A"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p>
    <w:p w14:paraId="36D509C2"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2</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Conflict of Interest</w:t>
      </w:r>
    </w:p>
    <w:p w14:paraId="25E42315"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In the procurement of supplies, equipment, construction, and services pursuant to this agreement, the Contractor shall comply with the conflict-of-interest provisions in 2 CFR 200.317 and 200.318. In all cases not governed by 2 CFR 200.317 and 200.318, the Contractor shall comply with the conflict-of-interest provisions in 24 CFR 570.611.</w:t>
      </w:r>
    </w:p>
    <w:p w14:paraId="3C229AAC"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3</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Lobbying Certification</w:t>
      </w:r>
    </w:p>
    <w:p w14:paraId="16947B4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color w:val="000000"/>
          <w:kern w:val="0"/>
          <w14:ligatures w14:val="none"/>
        </w:rPr>
        <w:tab/>
        <w:t>The Contractor hereby certifies that:</w:t>
      </w:r>
    </w:p>
    <w:p w14:paraId="5948F3A8"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 No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EB850B7"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w:t>
      </w:r>
    </w:p>
    <w:p w14:paraId="5FFD70C4"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(iii) shall require that the language of paragraph (a) through (d) of this certification be included in the award documents for all subawards at all tiers (including subcontracts, subgrants, and contracts under grants, loans, and cooperative agreements) and that all Contractors shall certify and disclose accordingly; and</w:t>
      </w:r>
    </w:p>
    <w:p w14:paraId="18DC0BD0"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(iv) This certification is a material representation of fact upon which reliance was placed when this transaction was made or entered into. Submission of this certification is required by section 1352, title 31, U.S.C. Any person who fails to file the required certification shall be subject to a civil penalty of not less than $10,000 and not more than $100,000 for each such failure.</w:t>
      </w:r>
    </w:p>
    <w:p w14:paraId="4CBDE0A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P.  Religious Activities</w:t>
      </w:r>
    </w:p>
    <w:p w14:paraId="2B6092C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agrees that funds provided under this agreement shall not be utilized for inherently religious activities prohibited by 24 CFR 570.200(j), such as worship, religious instruction, or proselytization.</w:t>
      </w:r>
    </w:p>
    <w:p w14:paraId="32EBBEE6"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lastRenderedPageBreak/>
        <w:t>Q.  Environmental Conditions</w:t>
      </w:r>
    </w:p>
    <w:p w14:paraId="190758E5"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1.</w:t>
      </w:r>
      <w:r w:rsidRPr="00633AC8">
        <w:rPr>
          <w:rFonts w:ascii="Arial" w:eastAsia="Times New Roman" w:hAnsi="Arial" w:cs="Arial"/>
          <w:color w:val="000000"/>
          <w:kern w:val="0"/>
          <w14:ligatures w14:val="none"/>
        </w:rPr>
        <w:tab/>
        <w:t>Prohibition on Choice Limiting Activities Prior to Environmental Review</w:t>
      </w:r>
    </w:p>
    <w:p w14:paraId="49EA0CC7"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must comply with the limitations in 24 CFR 58.22 even though the Contractor is not delegated the requirement under Section 104(g) of the HCD Act for environmental review, decision- making, and action (see 24 CFR part 58) and is not delegated the Grantee’s responsibilities for initiating the review process under the provisions of 24 CFR Part 52. 24 CFR 58.22 imposes limitations on activities pending clearance, and specifically limits commitments of HUD funds or non-HUD funds by any participant in the development process before completion of the environmental review. A violation of this requirement may result in a prohibition on the use of Federal funds for the activity.</w:t>
      </w:r>
    </w:p>
    <w:p w14:paraId="32F901FD"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2.</w:t>
      </w:r>
      <w:r w:rsidRPr="00633AC8">
        <w:rPr>
          <w:rFonts w:ascii="Arial" w:eastAsia="Times New Roman" w:hAnsi="Arial" w:cs="Arial"/>
          <w:color w:val="000000"/>
          <w:kern w:val="0"/>
          <w14:ligatures w14:val="none"/>
        </w:rPr>
        <w:tab/>
        <w:t>Air and Water</w:t>
      </w:r>
    </w:p>
    <w:p w14:paraId="15CE1CA2"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following requirements insofar as they apply to the performance of this agreement:</w:t>
      </w:r>
    </w:p>
    <w:p w14:paraId="1F2D1E89" w14:textId="77777777" w:rsidR="00027F81" w:rsidRPr="00633AC8" w:rsidRDefault="00027F81" w:rsidP="00027F81">
      <w:pPr>
        <w:numPr>
          <w:ilvl w:val="0"/>
          <w:numId w:val="1"/>
        </w:numPr>
        <w:spacing w:after="0" w:line="240" w:lineRule="auto"/>
        <w:ind w:left="2160"/>
        <w:textAlignment w:val="baseline"/>
        <w:rPr>
          <w:rFonts w:ascii="Arial" w:eastAsia="Times New Roman" w:hAnsi="Arial" w:cs="Arial"/>
          <w:color w:val="000000"/>
          <w:kern w:val="0"/>
          <w14:ligatures w14:val="none"/>
        </w:rPr>
      </w:pPr>
      <w:r w:rsidRPr="00633AC8">
        <w:rPr>
          <w:rFonts w:ascii="Arial" w:eastAsia="Times New Roman" w:hAnsi="Arial" w:cs="Arial"/>
          <w:color w:val="000000"/>
          <w:kern w:val="0"/>
          <w14:ligatures w14:val="none"/>
        </w:rPr>
        <w:t>Air quality. (1) The Clean Air Act (42 U.S.C. 7401 et. seq.) as amended; particularly section 176(c) and (d) (42 U.S.C. 7506(c) and (d)); and (2) Determining Conformity of Federal Actions to State or Federal Implementation Plans (Environmental Protection Agency—40 CFR parts 6, 51, and 93).</w:t>
      </w:r>
    </w:p>
    <w:p w14:paraId="20F943A4" w14:textId="77777777" w:rsidR="00027F81" w:rsidRPr="00633AC8" w:rsidRDefault="00027F81" w:rsidP="00027F81">
      <w:pPr>
        <w:numPr>
          <w:ilvl w:val="0"/>
          <w:numId w:val="1"/>
        </w:numPr>
        <w:spacing w:line="240" w:lineRule="auto"/>
        <w:ind w:left="2160"/>
        <w:textAlignment w:val="baseline"/>
        <w:rPr>
          <w:rFonts w:ascii="Arial" w:eastAsia="Times New Roman" w:hAnsi="Arial" w:cs="Arial"/>
          <w:color w:val="000000"/>
          <w:kern w:val="0"/>
          <w14:ligatures w14:val="none"/>
        </w:rPr>
      </w:pPr>
      <w:r w:rsidRPr="00633AC8">
        <w:rPr>
          <w:rFonts w:ascii="Arial" w:eastAsia="Times New Roman" w:hAnsi="Arial" w:cs="Arial"/>
          <w:color w:val="000000"/>
          <w:kern w:val="0"/>
          <w14:ligatures w14:val="none"/>
        </w:rPr>
        <w:t>Federal Water Pollution Control Act, as amended, 33 U.S.C. 1251, et seq., as amended, including the requirements specified in Section 114 and Section 308 of the Federal Water Pollution Control Act, as amended, and all regulations and guidelines issued thereunder;</w:t>
      </w:r>
    </w:p>
    <w:p w14:paraId="15A4A433" w14:textId="77777777" w:rsidR="00027F81" w:rsidRPr="00633AC8" w:rsidRDefault="00027F81" w:rsidP="00027F81">
      <w:pPr>
        <w:spacing w:line="240" w:lineRule="auto"/>
        <w:ind w:firstLine="720"/>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3.</w:t>
      </w:r>
      <w:r w:rsidRPr="00633AC8">
        <w:rPr>
          <w:rFonts w:ascii="Arial" w:eastAsia="Times New Roman" w:hAnsi="Arial" w:cs="Arial"/>
          <w:color w:val="000000"/>
          <w:kern w:val="0"/>
          <w14:ligatures w14:val="none"/>
        </w:rPr>
        <w:tab/>
        <w:t>Flood Disaster Protection</w:t>
      </w:r>
    </w:p>
    <w:p w14:paraId="683C0627" w14:textId="5B1C97C0"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mandatory flood insurance purchase requirements of Section 102 of the Flood Disaster Protection Act of 1973, as amended by the National Flood Insurance Reform Act of 1994, 42 USC 4012a. Additionally, the Contractor shall comply with Section 582 of the National Flood Insurance Reform Act of 1994, as amended, (42 U.S.C. 5154a), which includes a prohibition on the provision of flood disaster assistance, including loan assistance, to a person for repair, replacement, or restoration for damage to any personal, residential, or commercial property if that person at any time has received Federal flood disaster assistance that was conditioned on the person first having obtained flood insurance under applicable Federal law and the person has subsequently failed to obtain and maintain flood insurance as required under applicable Federal law on such property. Section 582 also includes a responsibility to notify property owners of their responsibility to notify transferees about mandatory flood purchase requirements. More information about these requirements is available in the Federal Register notices governing the C</w:t>
      </w:r>
      <w:r w:rsidR="00DE2496">
        <w:rPr>
          <w:rFonts w:ascii="Arial" w:eastAsia="Times New Roman" w:hAnsi="Arial" w:cs="Arial"/>
          <w:color w:val="000000"/>
          <w:kern w:val="0"/>
          <w14:ligatures w14:val="none"/>
        </w:rPr>
        <w:t xml:space="preserve">PF </w:t>
      </w:r>
      <w:r w:rsidRPr="00633AC8">
        <w:rPr>
          <w:rFonts w:ascii="Arial" w:eastAsia="Times New Roman" w:hAnsi="Arial" w:cs="Arial"/>
          <w:color w:val="000000"/>
          <w:kern w:val="0"/>
          <w14:ligatures w14:val="none"/>
        </w:rPr>
        <w:t>award.</w:t>
      </w:r>
    </w:p>
    <w:p w14:paraId="61C4E6E6"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4</w:t>
      </w:r>
      <w:r w:rsidRPr="00633AC8">
        <w:rPr>
          <w:rFonts w:ascii="Arial" w:eastAsia="Times New Roman" w:hAnsi="Arial" w:cs="Arial"/>
          <w:color w:val="000000"/>
          <w:kern w:val="0"/>
          <w14:ligatures w14:val="none"/>
        </w:rPr>
        <w:t>.</w:t>
      </w:r>
      <w:r w:rsidRPr="00633AC8">
        <w:rPr>
          <w:rFonts w:ascii="Arial" w:eastAsia="Times New Roman" w:hAnsi="Arial" w:cs="Arial"/>
          <w:color w:val="000000"/>
          <w:kern w:val="0"/>
          <w14:ligatures w14:val="none"/>
        </w:rPr>
        <w:tab/>
        <w:t>Lead-Based Paint</w:t>
      </w:r>
    </w:p>
    <w:p w14:paraId="59DAF280" w14:textId="77777777" w:rsidR="00027F81" w:rsidRDefault="00027F81" w:rsidP="00027F81">
      <w:pPr>
        <w:spacing w:line="240" w:lineRule="auto"/>
        <w:ind w:left="1440"/>
        <w:rPr>
          <w:rFonts w:ascii="Arial" w:eastAsia="Times New Roman" w:hAnsi="Arial" w:cs="Arial"/>
          <w:color w:val="000000"/>
          <w:kern w:val="0"/>
          <w14:ligatures w14:val="none"/>
        </w:rPr>
      </w:pPr>
      <w:r w:rsidRPr="00633AC8">
        <w:rPr>
          <w:rFonts w:ascii="Arial" w:eastAsia="Times New Roman" w:hAnsi="Arial" w:cs="Arial"/>
          <w:color w:val="000000"/>
          <w:kern w:val="0"/>
          <w14:ligatures w14:val="none"/>
        </w:rPr>
        <w:t>The Contractor shall comply with the Lead-Based Paint Poisoning Prevention Act (42 U.S.C. 4821-4846), the Residential Lead-Based Paint Hazard Reduction Act of 1992 (42 U.S.C. 4851-4856), and implementing regulations at 24 CFR part 35, subparts A, B, J, K, and R, which apply to activities under this agreement.</w:t>
      </w:r>
    </w:p>
    <w:p w14:paraId="3F95F663" w14:textId="77777777" w:rsidR="00027F81" w:rsidRDefault="00027F81" w:rsidP="00027F81">
      <w:pPr>
        <w:spacing w:line="240" w:lineRule="auto"/>
        <w:ind w:left="1440"/>
        <w:rPr>
          <w:rFonts w:ascii="Arial" w:eastAsia="Times New Roman" w:hAnsi="Arial" w:cs="Arial"/>
          <w:color w:val="000000"/>
          <w:kern w:val="0"/>
          <w14:ligatures w14:val="none"/>
        </w:rPr>
      </w:pPr>
    </w:p>
    <w:p w14:paraId="7719FE4A" w14:textId="77777777" w:rsidR="00027F81" w:rsidRDefault="00027F81" w:rsidP="00027F81">
      <w:pPr>
        <w:spacing w:line="240" w:lineRule="auto"/>
        <w:ind w:left="1440"/>
        <w:rPr>
          <w:rFonts w:ascii="Arial" w:eastAsia="Times New Roman" w:hAnsi="Arial" w:cs="Arial"/>
          <w:color w:val="000000"/>
          <w:kern w:val="0"/>
          <w14:ligatures w14:val="none"/>
        </w:rPr>
      </w:pPr>
    </w:p>
    <w:p w14:paraId="3B3D6447" w14:textId="77777777" w:rsidR="00027F81" w:rsidRDefault="00027F81" w:rsidP="00027F81">
      <w:pPr>
        <w:spacing w:line="240" w:lineRule="auto"/>
        <w:ind w:left="1440"/>
        <w:rPr>
          <w:rFonts w:ascii="Arial" w:eastAsia="Times New Roman" w:hAnsi="Arial" w:cs="Arial"/>
          <w:color w:val="000000"/>
          <w:kern w:val="0"/>
          <w14:ligatures w14:val="none"/>
        </w:rPr>
      </w:pPr>
    </w:p>
    <w:p w14:paraId="3D3CDA53" w14:textId="77777777" w:rsidR="00027F81" w:rsidRDefault="00027F81" w:rsidP="00027F81">
      <w:pPr>
        <w:spacing w:line="240" w:lineRule="auto"/>
        <w:ind w:left="1440"/>
        <w:rPr>
          <w:rFonts w:ascii="Arial" w:eastAsia="Times New Roman" w:hAnsi="Arial" w:cs="Arial"/>
          <w:color w:val="000000"/>
          <w:kern w:val="0"/>
          <w14:ligatures w14:val="none"/>
        </w:rPr>
      </w:pPr>
    </w:p>
    <w:p w14:paraId="62907685"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p>
    <w:p w14:paraId="5B1FBA62"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b/>
      </w:r>
      <w:r w:rsidRPr="00633AC8">
        <w:rPr>
          <w:rFonts w:ascii="Arial" w:eastAsia="Times New Roman" w:hAnsi="Arial" w:cs="Arial"/>
          <w:b/>
          <w:bCs/>
          <w:color w:val="000000"/>
          <w:kern w:val="0"/>
          <w14:ligatures w14:val="none"/>
        </w:rPr>
        <w:t>5.</w:t>
      </w:r>
      <w:r w:rsidRPr="00633AC8">
        <w:rPr>
          <w:rFonts w:ascii="Arial" w:eastAsia="Times New Roman" w:hAnsi="Arial" w:cs="Arial"/>
          <w:color w:val="000000"/>
          <w:kern w:val="0"/>
          <w14:ligatures w14:val="none"/>
        </w:rPr>
        <w:tab/>
        <w:t>Historic Preservation</w:t>
      </w:r>
    </w:p>
    <w:p w14:paraId="6B3E3B48"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The Contractor shall comply with the Historic Preservation requirements set forth in the National Historic Preservation Act of 1966, as amended, codified in title 54 of the United States Code, and the procedures set forth in 36 CFR part 800 insofar as they apply to the performance of this agreement.</w:t>
      </w:r>
    </w:p>
    <w:p w14:paraId="4D7538C2" w14:textId="77777777" w:rsidR="00027F81" w:rsidRPr="00633AC8" w:rsidRDefault="00027F81" w:rsidP="00027F81">
      <w:pPr>
        <w:spacing w:line="240" w:lineRule="auto"/>
        <w:ind w:left="1440"/>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In general, this requires concurrence from the State Historic Preservation Officer for all rehabilitation and demolition of historic properties that are fifty years old or older or that are included on a Federal, state, or local historic property list.</w:t>
      </w:r>
    </w:p>
    <w:p w14:paraId="250F5135"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R.  Contract Work Hours and Safety Standards Act (</w:t>
      </w:r>
      <w:hyperlink r:id="rId7" w:history="1">
        <w:r w:rsidRPr="00633AC8">
          <w:rPr>
            <w:rFonts w:ascii="Arial" w:eastAsia="Times New Roman" w:hAnsi="Arial" w:cs="Arial"/>
            <w:b/>
            <w:bCs/>
            <w:color w:val="0563C1"/>
            <w:kern w:val="0"/>
            <w:u w:val="single"/>
            <w14:ligatures w14:val="none"/>
          </w:rPr>
          <w:t>40 U.S.C. 3701–3708</w:t>
        </w:r>
      </w:hyperlink>
      <w:r w:rsidRPr="00633AC8">
        <w:rPr>
          <w:rFonts w:ascii="Arial" w:eastAsia="Times New Roman" w:hAnsi="Arial" w:cs="Arial"/>
          <w:b/>
          <w:bCs/>
          <w:color w:val="000000"/>
          <w:kern w:val="0"/>
          <w14:ligatures w14:val="none"/>
        </w:rPr>
        <w:t>) </w:t>
      </w:r>
    </w:p>
    <w:p w14:paraId="57AB12DA"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Where applicable, all contracts awarded by the non-Federal entity in excess of $100,000 that involve the employment of mechanics or laborers must include a provision for compliance with </w:t>
      </w:r>
      <w:hyperlink r:id="rId8" w:history="1">
        <w:r w:rsidRPr="00633AC8">
          <w:rPr>
            <w:rFonts w:ascii="Arial" w:eastAsia="Times New Roman" w:hAnsi="Arial" w:cs="Arial"/>
            <w:color w:val="0563C1"/>
            <w:kern w:val="0"/>
            <w:u w:val="single"/>
            <w14:ligatures w14:val="none"/>
          </w:rPr>
          <w:t>40 U.S.C. 3702</w:t>
        </w:r>
      </w:hyperlink>
      <w:r w:rsidRPr="00633AC8">
        <w:rPr>
          <w:rFonts w:ascii="Arial" w:eastAsia="Times New Roman" w:hAnsi="Arial" w:cs="Arial"/>
          <w:color w:val="000000"/>
          <w:kern w:val="0"/>
          <w14:ligatures w14:val="none"/>
        </w:rPr>
        <w:t> and </w:t>
      </w:r>
      <w:hyperlink r:id="rId9" w:history="1">
        <w:r w:rsidRPr="00633AC8">
          <w:rPr>
            <w:rFonts w:ascii="Arial" w:eastAsia="Times New Roman" w:hAnsi="Arial" w:cs="Arial"/>
            <w:color w:val="0563C1"/>
            <w:kern w:val="0"/>
            <w:u w:val="single"/>
            <w14:ligatures w14:val="none"/>
          </w:rPr>
          <w:t>3704</w:t>
        </w:r>
      </w:hyperlink>
      <w:r w:rsidRPr="00633AC8">
        <w:rPr>
          <w:rFonts w:ascii="Arial" w:eastAsia="Times New Roman" w:hAnsi="Arial" w:cs="Arial"/>
          <w:color w:val="000000"/>
          <w:kern w:val="0"/>
          <w14:ligatures w14:val="none"/>
        </w:rPr>
        <w:t>, as supplemented by Department of Labor regulations (</w:t>
      </w:r>
      <w:hyperlink r:id="rId10" w:history="1">
        <w:r w:rsidRPr="00633AC8">
          <w:rPr>
            <w:rFonts w:ascii="Arial" w:eastAsia="Times New Roman" w:hAnsi="Arial" w:cs="Arial"/>
            <w:color w:val="0563C1"/>
            <w:kern w:val="0"/>
            <w:u w:val="single"/>
            <w14:ligatures w14:val="none"/>
          </w:rPr>
          <w:t>29 CFR Part 5</w:t>
        </w:r>
      </w:hyperlink>
      <w:r w:rsidRPr="00633AC8">
        <w:rPr>
          <w:rFonts w:ascii="Arial" w:eastAsia="Times New Roman" w:hAnsi="Arial" w:cs="Arial"/>
          <w:color w:val="000000"/>
          <w:kern w:val="0"/>
          <w14:ligatures w14:val="none"/>
        </w:rPr>
        <w:t>). Under </w:t>
      </w:r>
      <w:hyperlink r:id="rId11" w:history="1">
        <w:r w:rsidRPr="00633AC8">
          <w:rPr>
            <w:rFonts w:ascii="Arial" w:eastAsia="Times New Roman" w:hAnsi="Arial" w:cs="Arial"/>
            <w:color w:val="0563C1"/>
            <w:kern w:val="0"/>
            <w:u w:val="single"/>
            <w14:ligatures w14:val="none"/>
          </w:rPr>
          <w:t>40 U.S.C. 3702</w:t>
        </w:r>
      </w:hyperlink>
      <w:r w:rsidRPr="00633AC8">
        <w:rPr>
          <w:rFonts w:ascii="Arial" w:eastAsia="Times New Roman" w:hAnsi="Arial" w:cs="Arial"/>
          <w:color w:val="000000"/>
          <w:kern w:val="0"/>
          <w14:ligatures w14:val="none"/>
        </w:rPr>
        <w:t>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w:t>
      </w:r>
      <w:hyperlink r:id="rId12" w:history="1">
        <w:r w:rsidRPr="00633AC8">
          <w:rPr>
            <w:rFonts w:ascii="Arial" w:eastAsia="Times New Roman" w:hAnsi="Arial" w:cs="Arial"/>
            <w:color w:val="0563C1"/>
            <w:kern w:val="0"/>
            <w:u w:val="single"/>
            <w14:ligatures w14:val="none"/>
          </w:rPr>
          <w:t>40 U.S.C. 3704</w:t>
        </w:r>
      </w:hyperlink>
      <w:r w:rsidRPr="00633AC8">
        <w:rPr>
          <w:rFonts w:ascii="Arial" w:eastAsia="Times New Roman" w:hAnsi="Arial" w:cs="Arial"/>
          <w:color w:val="000000"/>
          <w:kern w:val="0"/>
          <w14:ligatures w14:val="none"/>
        </w:rPr>
        <w:t>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58FF22AA"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S. Rights to Inventions Made Under a Contract or Agreement </w:t>
      </w:r>
    </w:p>
    <w:p w14:paraId="4EE1BC0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If the Federal award meets the definition of “funding agreement” under </w:t>
      </w:r>
      <w:hyperlink r:id="rId13" w:anchor="p-401.2(a)" w:history="1">
        <w:r w:rsidRPr="00633AC8">
          <w:rPr>
            <w:rFonts w:ascii="Arial" w:eastAsia="Times New Roman" w:hAnsi="Arial" w:cs="Arial"/>
            <w:color w:val="0563C1"/>
            <w:kern w:val="0"/>
            <w:u w:val="single"/>
            <w14:ligatures w14:val="none"/>
          </w:rPr>
          <w:t>37 CFR § 401.2 (a)</w:t>
        </w:r>
      </w:hyperlink>
      <w:r w:rsidRPr="00633AC8">
        <w:rPr>
          <w:rFonts w:ascii="Arial" w:eastAsia="Times New Roman" w:hAnsi="Arial" w:cs="Arial"/>
          <w:color w:val="000000"/>
          <w:kern w:val="0"/>
          <w14:ligatures w14:val="none"/>
        </w:rPr>
        <w:t>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14" w:history="1">
        <w:r w:rsidRPr="00633AC8">
          <w:rPr>
            <w:rFonts w:ascii="Arial" w:eastAsia="Times New Roman" w:hAnsi="Arial" w:cs="Arial"/>
            <w:color w:val="0563C1"/>
            <w:kern w:val="0"/>
            <w:u w:val="single"/>
            <w14:ligatures w14:val="none"/>
          </w:rPr>
          <w:t>37 CFR Part 401</w:t>
        </w:r>
      </w:hyperlink>
      <w:r w:rsidRPr="00633AC8">
        <w:rPr>
          <w:rFonts w:ascii="Arial" w:eastAsia="Times New Roman" w:hAnsi="Arial" w:cs="Arial"/>
          <w:color w:val="000000"/>
          <w:kern w:val="0"/>
          <w14:ligatures w14:val="none"/>
        </w:rPr>
        <w:t>, “Rights to Inventions Made by Nonprofit Organizations and Small Business Firms Under Government Grants, Contracts and Cooperative Agreements,” and any implementing regulations issued by the awarding agency.</w:t>
      </w:r>
    </w:p>
    <w:p w14:paraId="44F85F4B" w14:textId="77777777" w:rsidR="00027F81" w:rsidRPr="00633AC8" w:rsidRDefault="00027F81" w:rsidP="00027F81">
      <w:pPr>
        <w:spacing w:after="0" w:line="240" w:lineRule="auto"/>
        <w:rPr>
          <w:rFonts w:ascii="Arial" w:eastAsia="Times New Roman" w:hAnsi="Arial" w:cs="Arial"/>
          <w:kern w:val="0"/>
          <w:sz w:val="24"/>
          <w:szCs w:val="24"/>
          <w14:ligatures w14:val="none"/>
        </w:rPr>
      </w:pPr>
    </w:p>
    <w:p w14:paraId="076CA3E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T. Debarment and Suspension (Executive Orders 12549 and 12689)</w:t>
      </w:r>
    </w:p>
    <w:p w14:paraId="6DD89EB8"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 contract award (see </w:t>
      </w:r>
      <w:hyperlink r:id="rId15" w:history="1">
        <w:r w:rsidRPr="00633AC8">
          <w:rPr>
            <w:rFonts w:ascii="Arial" w:eastAsia="Times New Roman" w:hAnsi="Arial" w:cs="Arial"/>
            <w:color w:val="0563C1"/>
            <w:kern w:val="0"/>
            <w:u w:val="single"/>
            <w14:ligatures w14:val="none"/>
          </w:rPr>
          <w:t>2 CFR 180.220</w:t>
        </w:r>
      </w:hyperlink>
      <w:r w:rsidRPr="00633AC8">
        <w:rPr>
          <w:rFonts w:ascii="Arial" w:eastAsia="Times New Roman" w:hAnsi="Arial" w:cs="Arial"/>
          <w:color w:val="000000"/>
          <w:kern w:val="0"/>
          <w14:ligatures w14:val="none"/>
        </w:rPr>
        <w:t>) must not be made to parties listed on the governmentwide exclusions in the System for Award Management (SAM), in accordance with the OMB guidelines at </w:t>
      </w:r>
      <w:hyperlink r:id="rId16" w:history="1">
        <w:r w:rsidRPr="00633AC8">
          <w:rPr>
            <w:rFonts w:ascii="Arial" w:eastAsia="Times New Roman" w:hAnsi="Arial" w:cs="Arial"/>
            <w:color w:val="0563C1"/>
            <w:kern w:val="0"/>
            <w:u w:val="single"/>
            <w14:ligatures w14:val="none"/>
          </w:rPr>
          <w:t>2 CFR 180</w:t>
        </w:r>
      </w:hyperlink>
      <w:r w:rsidRPr="00633AC8">
        <w:rPr>
          <w:rFonts w:ascii="Arial" w:eastAsia="Times New Roman" w:hAnsi="Arial" w:cs="Arial"/>
          <w:color w:val="000000"/>
          <w:kern w:val="0"/>
          <w14:ligatures w14:val="none"/>
        </w:rPr>
        <w:t xml:space="preserve"> that implement Executive Orders 12549 (3 CFR part 1986 Comp., p. 189) and 12689 (3 CFR part 1989 Comp., p. 235), “Debarment and Suspension.” SAM Exclusions contains the names of parties debarred, suspended, or otherwise excluded by </w:t>
      </w:r>
      <w:r w:rsidRPr="00633AC8">
        <w:rPr>
          <w:rFonts w:ascii="Arial" w:eastAsia="Times New Roman" w:hAnsi="Arial" w:cs="Arial"/>
          <w:color w:val="000000"/>
          <w:kern w:val="0"/>
          <w14:ligatures w14:val="none"/>
        </w:rPr>
        <w:lastRenderedPageBreak/>
        <w:t>agencies, as well as parties declared ineligible under statutory or regulatory authority other than Executive Order 12549.</w:t>
      </w:r>
    </w:p>
    <w:p w14:paraId="2A4DF5D3"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U.</w:t>
      </w:r>
      <w:r w:rsidRPr="00633AC8">
        <w:rPr>
          <w:rFonts w:ascii="Arial" w:eastAsia="Times New Roman" w:hAnsi="Arial" w:cs="Arial"/>
          <w:color w:val="222222"/>
          <w:kern w:val="0"/>
          <w:shd w:val="clear" w:color="auto" w:fill="FFFFFF"/>
          <w14:ligatures w14:val="none"/>
        </w:rPr>
        <w:t xml:space="preserve"> </w:t>
      </w:r>
      <w:r w:rsidRPr="00633AC8">
        <w:rPr>
          <w:rFonts w:ascii="Arial" w:eastAsia="Times New Roman" w:hAnsi="Arial" w:cs="Arial"/>
          <w:b/>
          <w:bCs/>
          <w:color w:val="000000"/>
          <w:kern w:val="0"/>
          <w14:ligatures w14:val="none"/>
        </w:rPr>
        <w:t>Byrd Anti-Lobbying Amendment (</w:t>
      </w:r>
      <w:hyperlink r:id="rId17" w:history="1">
        <w:r w:rsidRPr="00633AC8">
          <w:rPr>
            <w:rFonts w:ascii="Arial" w:eastAsia="Times New Roman" w:hAnsi="Arial" w:cs="Arial"/>
            <w:b/>
            <w:bCs/>
            <w:color w:val="0563C1"/>
            <w:kern w:val="0"/>
            <w:u w:val="single"/>
            <w14:ligatures w14:val="none"/>
          </w:rPr>
          <w:t>31 U.S.C. 1352</w:t>
        </w:r>
      </w:hyperlink>
      <w:r w:rsidRPr="00633AC8">
        <w:rPr>
          <w:rFonts w:ascii="Arial" w:eastAsia="Times New Roman" w:hAnsi="Arial" w:cs="Arial"/>
          <w:b/>
          <w:bCs/>
          <w:color w:val="000000"/>
          <w:kern w:val="0"/>
          <w14:ligatures w14:val="none"/>
        </w:rPr>
        <w:t>)</w:t>
      </w:r>
    </w:p>
    <w:p w14:paraId="0BDC789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w:t>
      </w:r>
      <w:hyperlink r:id="rId18" w:history="1">
        <w:r w:rsidRPr="00633AC8">
          <w:rPr>
            <w:rFonts w:ascii="Arial" w:eastAsia="Times New Roman" w:hAnsi="Arial" w:cs="Arial"/>
            <w:color w:val="0563C1"/>
            <w:kern w:val="0"/>
            <w:u w:val="single"/>
            <w14:ligatures w14:val="none"/>
          </w:rPr>
          <w:t>31 U.S.C. 1352</w:t>
        </w:r>
      </w:hyperlink>
      <w:r w:rsidRPr="00633AC8">
        <w:rPr>
          <w:rFonts w:ascii="Arial" w:eastAsia="Times New Roman" w:hAnsi="Arial" w:cs="Arial"/>
          <w:color w:val="000000"/>
          <w:kern w:val="0"/>
          <w14:ligatures w14:val="none"/>
        </w:rPr>
        <w:t xml:space="preserve">. Each tier must also disclose any lobbying with non-Federal funds that takes place in connection with obtaining any Federal award. Such disclosures are forwarded from tier to </w:t>
      </w:r>
      <w:proofErr w:type="spellStart"/>
      <w:r w:rsidRPr="00633AC8">
        <w:rPr>
          <w:rFonts w:ascii="Arial" w:eastAsia="Times New Roman" w:hAnsi="Arial" w:cs="Arial"/>
          <w:color w:val="000000"/>
          <w:kern w:val="0"/>
          <w14:ligatures w14:val="none"/>
        </w:rPr>
        <w:t>tier</w:t>
      </w:r>
      <w:proofErr w:type="spellEnd"/>
      <w:r w:rsidRPr="00633AC8">
        <w:rPr>
          <w:rFonts w:ascii="Arial" w:eastAsia="Times New Roman" w:hAnsi="Arial" w:cs="Arial"/>
          <w:color w:val="000000"/>
          <w:kern w:val="0"/>
          <w14:ligatures w14:val="none"/>
        </w:rPr>
        <w:t xml:space="preserve"> up to the non-Federal award.</w:t>
      </w:r>
    </w:p>
    <w:p w14:paraId="240B2A0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V. 200.323 - Procurement of recovered materials</w:t>
      </w:r>
    </w:p>
    <w:p w14:paraId="5B57001D"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w:t>
      </w:r>
      <w:hyperlink r:id="rId19" w:history="1">
        <w:r w:rsidRPr="00633AC8">
          <w:rPr>
            <w:rFonts w:ascii="Arial" w:eastAsia="Times New Roman" w:hAnsi="Arial" w:cs="Arial"/>
            <w:color w:val="0563C1"/>
            <w:kern w:val="0"/>
            <w:u w:val="single"/>
            <w14:ligatures w14:val="none"/>
          </w:rPr>
          <w:t>40 CFR part 247</w:t>
        </w:r>
      </w:hyperlink>
      <w:r w:rsidRPr="00633AC8">
        <w:rPr>
          <w:rFonts w:ascii="Arial" w:eastAsia="Times New Roman" w:hAnsi="Arial" w:cs="Arial"/>
          <w:color w:val="000000"/>
          <w:kern w:val="0"/>
          <w14:ligatures w14:val="none"/>
        </w:rPr>
        <w:t>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33AC48A1"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W. 200.216 - Prohibition on certain telecommunications and video surveillance services or equipment.</w:t>
      </w:r>
    </w:p>
    <w:p w14:paraId="736B1822"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 Recipients and subrecipients are prohibited from obligating or expending loan or grant funds to:</w:t>
      </w:r>
    </w:p>
    <w:p w14:paraId="6E89D3C6"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(1) Procure or obtain;</w:t>
      </w:r>
    </w:p>
    <w:p w14:paraId="388E43D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(2) Extend or renew a contract to procure or obtain; or</w:t>
      </w:r>
    </w:p>
    <w:p w14:paraId="44CDAB7B"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(3) Enter into a contract (or extend or renew a contract) to procure or obtain equipment, services, or systems that uses covered telecommunications equipment or services as a substantial or essential component of any system, or as critical technology as part of any system. As described in </w:t>
      </w:r>
      <w:hyperlink r:id="rId20" w:history="1">
        <w:r w:rsidRPr="00633AC8">
          <w:rPr>
            <w:rFonts w:ascii="Arial" w:eastAsia="Times New Roman" w:hAnsi="Arial" w:cs="Arial"/>
            <w:color w:val="0563C1"/>
            <w:kern w:val="0"/>
            <w:u w:val="single"/>
            <w14:ligatures w14:val="none"/>
          </w:rPr>
          <w:t>Public Law 115–232</w:t>
        </w:r>
      </w:hyperlink>
      <w:r w:rsidRPr="00633AC8">
        <w:rPr>
          <w:rFonts w:ascii="Arial" w:eastAsia="Times New Roman" w:hAnsi="Arial" w:cs="Arial"/>
          <w:color w:val="000000"/>
          <w:kern w:val="0"/>
          <w14:ligatures w14:val="none"/>
        </w:rPr>
        <w:t>, section 889, covered telecommunications equipment is telecommunications equipment produced by Huawei Technologies Company or ZTE Corporation (or any subsidiary or affiliate of such entities).</w:t>
      </w:r>
    </w:p>
    <w:p w14:paraId="21386ABF"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w:t>
      </w:r>
      <w:r>
        <w:rPr>
          <w:rFonts w:ascii="Arial" w:eastAsia="Times New Roman" w:hAnsi="Arial" w:cs="Arial"/>
          <w:color w:val="000000"/>
          <w:kern w:val="0"/>
          <w14:ligatures w14:val="none"/>
        </w:rPr>
        <w:t>i</w:t>
      </w:r>
      <w:r w:rsidRPr="00633AC8">
        <w:rPr>
          <w:rFonts w:ascii="Arial" w:eastAsia="Times New Roman" w:hAnsi="Arial" w:cs="Arial"/>
          <w:color w:val="000000"/>
          <w:kern w:val="0"/>
          <w14:ligatures w14:val="none"/>
        </w:rPr>
        <w:t>)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0C63EBCB"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(ii) Telecommunications or video surveillance services provided by such entities or using such equipment.</w:t>
      </w:r>
    </w:p>
    <w:p w14:paraId="70598C61"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 xml:space="preserve">(iii) Telecommunications or video surveillance equipment or services produced or provided by an entity that the Secretary of Defense, in consultation with the Director of the National </w:t>
      </w:r>
      <w:r w:rsidRPr="00633AC8">
        <w:rPr>
          <w:rFonts w:ascii="Arial" w:eastAsia="Times New Roman" w:hAnsi="Arial" w:cs="Arial"/>
          <w:color w:val="000000"/>
          <w:kern w:val="0"/>
          <w14:ligatures w14:val="none"/>
        </w:rPr>
        <w:lastRenderedPageBreak/>
        <w:t>Intelligence or the Director of the Federal Bureau of Investigation, reasonably believes to be an entity owned or controlled by, or otherwise connected to, the government of a covered foreign country.</w:t>
      </w:r>
    </w:p>
    <w:p w14:paraId="366B69F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(b) In implementing the prohibition under </w:t>
      </w:r>
      <w:hyperlink r:id="rId21" w:history="1">
        <w:r w:rsidRPr="00633AC8">
          <w:rPr>
            <w:rFonts w:ascii="Arial" w:eastAsia="Times New Roman" w:hAnsi="Arial" w:cs="Arial"/>
            <w:color w:val="0563C1"/>
            <w:kern w:val="0"/>
            <w:u w:val="single"/>
            <w14:ligatures w14:val="none"/>
          </w:rPr>
          <w:t>Public Law 115–232</w:t>
        </w:r>
      </w:hyperlink>
      <w:r w:rsidRPr="00633AC8">
        <w:rPr>
          <w:rFonts w:ascii="Arial" w:eastAsia="Times New Roman" w:hAnsi="Arial" w:cs="Arial"/>
          <w:color w:val="000000"/>
          <w:kern w:val="0"/>
          <w14:ligatures w14:val="none"/>
        </w:rPr>
        <w:t>,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w:t>
      </w:r>
    </w:p>
    <w:p w14:paraId="51CBEA0A"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(c) See </w:t>
      </w:r>
      <w:hyperlink r:id="rId22" w:history="1">
        <w:r w:rsidRPr="00633AC8">
          <w:rPr>
            <w:rFonts w:ascii="Arial" w:eastAsia="Times New Roman" w:hAnsi="Arial" w:cs="Arial"/>
            <w:color w:val="0563C1"/>
            <w:kern w:val="0"/>
            <w:u w:val="single"/>
            <w14:ligatures w14:val="none"/>
          </w:rPr>
          <w:t>Public Law 115–232</w:t>
        </w:r>
      </w:hyperlink>
      <w:r w:rsidRPr="00633AC8">
        <w:rPr>
          <w:rFonts w:ascii="Arial" w:eastAsia="Times New Roman" w:hAnsi="Arial" w:cs="Arial"/>
          <w:color w:val="000000"/>
          <w:kern w:val="0"/>
          <w14:ligatures w14:val="none"/>
        </w:rPr>
        <w:t>, section 889 for additional information.</w:t>
      </w:r>
    </w:p>
    <w:p w14:paraId="16DE50E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(d) See also </w:t>
      </w:r>
      <w:hyperlink r:id="rId23" w:history="1">
        <w:r w:rsidRPr="00633AC8">
          <w:rPr>
            <w:rFonts w:ascii="Arial" w:eastAsia="Times New Roman" w:hAnsi="Arial" w:cs="Arial"/>
            <w:color w:val="0563C1"/>
            <w:kern w:val="0"/>
            <w:u w:val="single"/>
            <w14:ligatures w14:val="none"/>
          </w:rPr>
          <w:t>§ 200.471</w:t>
        </w:r>
      </w:hyperlink>
      <w:r w:rsidRPr="00633AC8">
        <w:rPr>
          <w:rFonts w:ascii="Arial" w:eastAsia="Times New Roman" w:hAnsi="Arial" w:cs="Arial"/>
          <w:color w:val="000000"/>
          <w:kern w:val="0"/>
          <w14:ligatures w14:val="none"/>
        </w:rPr>
        <w:t>.  </w:t>
      </w:r>
    </w:p>
    <w:p w14:paraId="69D2B4DD"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b/>
          <w:bCs/>
          <w:color w:val="000000"/>
          <w:kern w:val="0"/>
          <w14:ligatures w14:val="none"/>
        </w:rPr>
        <w:t>X. § 200.322 Domestic preferences for procurements</w:t>
      </w:r>
    </w:p>
    <w:p w14:paraId="5371614B"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(a) As appropriate and to the extent consistent with law, the non-Federal entity should, to the greatest extent practicable under a federal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w:t>
      </w:r>
    </w:p>
    <w:p w14:paraId="3FAE6060"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(b) For purposes of this section:</w:t>
      </w:r>
    </w:p>
    <w:p w14:paraId="1FB40C75"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(1) “Produced in the United States” means, for iron and steel products, that all manufacturing processes, from the initial melting stage through the application of coatings, occurred in the United States.</w:t>
      </w:r>
    </w:p>
    <w:p w14:paraId="594EA637"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394B7149"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(c) Federal agencies providing Federal financial assistance for infrastructure projects must implement the Buy America preferences set forth in </w:t>
      </w:r>
      <w:hyperlink r:id="rId24" w:history="1">
        <w:r w:rsidRPr="00633AC8">
          <w:rPr>
            <w:rFonts w:ascii="Arial" w:eastAsia="Times New Roman" w:hAnsi="Arial" w:cs="Arial"/>
            <w:color w:val="0563C1"/>
            <w:kern w:val="0"/>
            <w:u w:val="single"/>
            <w14:ligatures w14:val="none"/>
          </w:rPr>
          <w:t>2 CFR part 184</w:t>
        </w:r>
      </w:hyperlink>
      <w:r w:rsidRPr="00633AC8">
        <w:rPr>
          <w:rFonts w:ascii="Arial" w:eastAsia="Times New Roman" w:hAnsi="Arial" w:cs="Arial"/>
          <w:color w:val="000000"/>
          <w:kern w:val="0"/>
          <w14:ligatures w14:val="none"/>
        </w:rPr>
        <w:t>.</w:t>
      </w:r>
    </w:p>
    <w:p w14:paraId="1E45C72D" w14:textId="77777777" w:rsidR="00027F81" w:rsidRPr="00633AC8" w:rsidRDefault="00027F81" w:rsidP="00027F81">
      <w:pPr>
        <w:spacing w:line="240" w:lineRule="auto"/>
        <w:rPr>
          <w:rFonts w:ascii="Arial" w:eastAsia="Times New Roman" w:hAnsi="Arial" w:cs="Arial"/>
          <w:kern w:val="0"/>
          <w:sz w:val="24"/>
          <w:szCs w:val="24"/>
          <w14:ligatures w14:val="none"/>
        </w:rPr>
      </w:pPr>
      <w:r w:rsidRPr="00633AC8">
        <w:rPr>
          <w:rFonts w:ascii="Arial" w:eastAsia="Times New Roman" w:hAnsi="Arial" w:cs="Arial"/>
          <w:color w:val="000000"/>
          <w:kern w:val="0"/>
          <w14:ligatures w14:val="none"/>
        </w:rPr>
        <w:t>[</w:t>
      </w:r>
      <w:hyperlink r:id="rId25" w:history="1">
        <w:r w:rsidRPr="00633AC8">
          <w:rPr>
            <w:rFonts w:ascii="Arial" w:eastAsia="Times New Roman" w:hAnsi="Arial" w:cs="Arial"/>
            <w:color w:val="0563C1"/>
            <w:kern w:val="0"/>
            <w:u w:val="single"/>
            <w14:ligatures w14:val="none"/>
          </w:rPr>
          <w:t>85 FR 49543</w:t>
        </w:r>
      </w:hyperlink>
      <w:r w:rsidRPr="00633AC8">
        <w:rPr>
          <w:rFonts w:ascii="Arial" w:eastAsia="Times New Roman" w:hAnsi="Arial" w:cs="Arial"/>
          <w:color w:val="000000"/>
          <w:kern w:val="0"/>
          <w14:ligatures w14:val="none"/>
        </w:rPr>
        <w:t>, Aug. 13, 2020, as amended at </w:t>
      </w:r>
      <w:hyperlink r:id="rId26" w:history="1">
        <w:r w:rsidRPr="00633AC8">
          <w:rPr>
            <w:rFonts w:ascii="Arial" w:eastAsia="Times New Roman" w:hAnsi="Arial" w:cs="Arial"/>
            <w:color w:val="0563C1"/>
            <w:kern w:val="0"/>
            <w:u w:val="single"/>
            <w14:ligatures w14:val="none"/>
          </w:rPr>
          <w:t>88 FR 57790</w:t>
        </w:r>
      </w:hyperlink>
      <w:r w:rsidRPr="00633AC8">
        <w:rPr>
          <w:rFonts w:ascii="Arial" w:eastAsia="Times New Roman" w:hAnsi="Arial" w:cs="Arial"/>
          <w:color w:val="000000"/>
          <w:kern w:val="0"/>
          <w14:ligatures w14:val="none"/>
        </w:rPr>
        <w:t>, Aug. 23, 2023]</w:t>
      </w:r>
    </w:p>
    <w:p w14:paraId="75F6D206" w14:textId="77777777" w:rsidR="00027F81" w:rsidRPr="00633AC8" w:rsidRDefault="00027F81" w:rsidP="00027F81">
      <w:pPr>
        <w:rPr>
          <w:rFonts w:ascii="Arial" w:hAnsi="Arial" w:cs="Arial"/>
        </w:rPr>
      </w:pPr>
    </w:p>
    <w:p w14:paraId="56E1A106" w14:textId="77777777" w:rsidR="00027F81" w:rsidRDefault="00027F81"/>
    <w:sectPr w:rsidR="00027F81">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10022" w14:textId="77777777" w:rsidR="00676F5D" w:rsidRDefault="00676F5D">
      <w:pPr>
        <w:spacing w:after="0" w:line="240" w:lineRule="auto"/>
      </w:pPr>
      <w:r>
        <w:separator/>
      </w:r>
    </w:p>
  </w:endnote>
  <w:endnote w:type="continuationSeparator" w:id="0">
    <w:p w14:paraId="2574D04D" w14:textId="77777777" w:rsidR="00676F5D" w:rsidRDefault="00676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910352"/>
      <w:docPartObj>
        <w:docPartGallery w:val="Page Numbers (Bottom of Page)"/>
        <w:docPartUnique/>
      </w:docPartObj>
    </w:sdtPr>
    <w:sdtEndPr>
      <w:rPr>
        <w:noProof/>
      </w:rPr>
    </w:sdtEndPr>
    <w:sdtContent>
      <w:p w14:paraId="18E437BA" w14:textId="77777777" w:rsidR="001A51D0" w:rsidRDefault="00676F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3AA4AE" w14:textId="77777777" w:rsidR="001A51D0" w:rsidRDefault="001A5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58401" w14:textId="77777777" w:rsidR="00676F5D" w:rsidRDefault="00676F5D">
      <w:pPr>
        <w:spacing w:after="0" w:line="240" w:lineRule="auto"/>
      </w:pPr>
      <w:r>
        <w:separator/>
      </w:r>
    </w:p>
  </w:footnote>
  <w:footnote w:type="continuationSeparator" w:id="0">
    <w:p w14:paraId="7537D28D" w14:textId="77777777" w:rsidR="00676F5D" w:rsidRDefault="00676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37925"/>
    <w:multiLevelType w:val="multilevel"/>
    <w:tmpl w:val="82C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894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81"/>
    <w:rsid w:val="00027F81"/>
    <w:rsid w:val="0009146A"/>
    <w:rsid w:val="001A51D0"/>
    <w:rsid w:val="00457175"/>
    <w:rsid w:val="004B596A"/>
    <w:rsid w:val="00676F5D"/>
    <w:rsid w:val="007E79BF"/>
    <w:rsid w:val="009B6455"/>
    <w:rsid w:val="00C147D1"/>
    <w:rsid w:val="00D92CFD"/>
    <w:rsid w:val="00DE2496"/>
    <w:rsid w:val="00FD06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E928"/>
  <w15:chartTrackingRefBased/>
  <w15:docId w15:val="{2C2BE1B4-A7F8-44CB-9B41-F54FA219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7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link/uscode/40/3702" TargetMode="External"/><Relationship Id="rId13" Type="http://schemas.openxmlformats.org/officeDocument/2006/relationships/hyperlink" Target="https://www.ecfr.gov/current/title-37/section-401.2" TargetMode="External"/><Relationship Id="rId18" Type="http://schemas.openxmlformats.org/officeDocument/2006/relationships/hyperlink" Target="https://www.govinfo.gov/link/uscode/31/1352" TargetMode="External"/><Relationship Id="rId26" Type="http://schemas.openxmlformats.org/officeDocument/2006/relationships/hyperlink" Target="https://www.federalregister.gov/citation/88-FR-57790" TargetMode="External"/><Relationship Id="rId3" Type="http://schemas.openxmlformats.org/officeDocument/2006/relationships/settings" Target="settings.xml"/><Relationship Id="rId21" Type="http://schemas.openxmlformats.org/officeDocument/2006/relationships/hyperlink" Target="https://www.govinfo.gov/link/plaw/115/public/232" TargetMode="External"/><Relationship Id="rId7" Type="http://schemas.openxmlformats.org/officeDocument/2006/relationships/hyperlink" Target="https://www.govinfo.gov/link/uscode/40/3701" TargetMode="External"/><Relationship Id="rId12" Type="http://schemas.openxmlformats.org/officeDocument/2006/relationships/hyperlink" Target="https://www.govinfo.gov/link/uscode/40/3704" TargetMode="External"/><Relationship Id="rId17" Type="http://schemas.openxmlformats.org/officeDocument/2006/relationships/hyperlink" Target="https://www.govinfo.gov/link/uscode/31/1352" TargetMode="External"/><Relationship Id="rId25" Type="http://schemas.openxmlformats.org/officeDocument/2006/relationships/hyperlink" Target="https://www.federalregister.gov/citation/85-FR-49543" TargetMode="External"/><Relationship Id="rId2" Type="http://schemas.openxmlformats.org/officeDocument/2006/relationships/styles" Target="styles.xml"/><Relationship Id="rId16" Type="http://schemas.openxmlformats.org/officeDocument/2006/relationships/hyperlink" Target="https://www.ecfr.gov/current/title-2/part-180" TargetMode="External"/><Relationship Id="rId20" Type="http://schemas.openxmlformats.org/officeDocument/2006/relationships/hyperlink" Target="https://www.govinfo.gov/link/plaw/115/public/23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nfo.gov/link/uscode/40/3702" TargetMode="External"/><Relationship Id="rId24" Type="http://schemas.openxmlformats.org/officeDocument/2006/relationships/hyperlink" Target="https://www.ecfr.gov/current/title-2/part-184" TargetMode="External"/><Relationship Id="rId5" Type="http://schemas.openxmlformats.org/officeDocument/2006/relationships/footnotes" Target="footnotes.xml"/><Relationship Id="rId15" Type="http://schemas.openxmlformats.org/officeDocument/2006/relationships/hyperlink" Target="https://www.ecfr.gov/current/title-2/section-180.220" TargetMode="External"/><Relationship Id="rId23" Type="http://schemas.openxmlformats.org/officeDocument/2006/relationships/hyperlink" Target="https://www.ecfr.gov/current/title-2/section-200.471" TargetMode="External"/><Relationship Id="rId28" Type="http://schemas.openxmlformats.org/officeDocument/2006/relationships/fontTable" Target="fontTable.xml"/><Relationship Id="rId10" Type="http://schemas.openxmlformats.org/officeDocument/2006/relationships/hyperlink" Target="https://www.ecfr.gov/current/title-29/part-5" TargetMode="External"/><Relationship Id="rId19" Type="http://schemas.openxmlformats.org/officeDocument/2006/relationships/hyperlink" Target="https://www.ecfr.gov/current/title-40/part-247" TargetMode="External"/><Relationship Id="rId4" Type="http://schemas.openxmlformats.org/officeDocument/2006/relationships/webSettings" Target="webSettings.xml"/><Relationship Id="rId9" Type="http://schemas.openxmlformats.org/officeDocument/2006/relationships/hyperlink" Target="https://www.govinfo.gov/link/uscode/40/3704" TargetMode="External"/><Relationship Id="rId14" Type="http://schemas.openxmlformats.org/officeDocument/2006/relationships/hyperlink" Target="https://www.ecfr.gov/current/title-37/part-401" TargetMode="External"/><Relationship Id="rId22" Type="http://schemas.openxmlformats.org/officeDocument/2006/relationships/hyperlink" Target="https://www.govinfo.gov/link/plaw/115/public/23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6171</Words>
  <Characters>35175</Characters>
  <Application>Microsoft Office Word</Application>
  <DocSecurity>0</DocSecurity>
  <Lines>293</Lines>
  <Paragraphs>82</Paragraphs>
  <ScaleCrop>false</ScaleCrop>
  <Company/>
  <LinksUpToDate>false</LinksUpToDate>
  <CharactersWithSpaces>41264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Raschke, Christopher</dc:creator>
  <cp:keywords/>
  <dc:description/>
  <cp:lastModifiedBy>Wassim Mahfouz</cp:lastModifiedBy>
  <cp:revision>8</cp:revision>
  <dcterms:created xsi:type="dcterms:W3CDTF">2024-12-10T21:13:00Z</dcterms:created>
  <dcterms:modified xsi:type="dcterms:W3CDTF">2024-12-11T14:46:00Z</dcterms:modified>
</cp:coreProperties>
</file>